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9D" w:rsidRPr="0045519D" w:rsidRDefault="0045519D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sz w:val="24"/>
          <w:szCs w:val="24"/>
        </w:rPr>
      </w:pPr>
      <w:bookmarkStart w:id="0" w:name="_GoBack"/>
      <w:bookmarkEnd w:id="0"/>
      <w:r w:rsidRPr="0045519D">
        <w:rPr>
          <w:rFonts w:ascii="Garamond" w:hAnsi="Garamond" w:cs="Segoe UI"/>
          <w:sz w:val="24"/>
          <w:szCs w:val="24"/>
        </w:rPr>
        <w:t xml:space="preserve">Section 2.1 – </w:t>
      </w:r>
      <w:r w:rsidR="003F23C3">
        <w:rPr>
          <w:rFonts w:ascii="Garamond" w:hAnsi="Garamond" w:cs="Segoe UI"/>
          <w:sz w:val="24"/>
          <w:szCs w:val="24"/>
        </w:rPr>
        <w:t xml:space="preserve">Hazard Identification, of WisDOT’s ASP template </w:t>
      </w:r>
      <w:r>
        <w:rPr>
          <w:rFonts w:ascii="Garamond" w:hAnsi="Garamond" w:cs="Segoe UI"/>
          <w:sz w:val="24"/>
          <w:szCs w:val="24"/>
        </w:rPr>
        <w:t>contains a general description of requirements</w:t>
      </w:r>
      <w:r w:rsidR="003F23C3">
        <w:rPr>
          <w:rFonts w:ascii="Garamond" w:hAnsi="Garamond" w:cs="Segoe UI"/>
          <w:sz w:val="24"/>
          <w:szCs w:val="24"/>
        </w:rPr>
        <w:t xml:space="preserve"> under 49 CFR Part 673</w:t>
      </w:r>
      <w:r>
        <w:rPr>
          <w:rFonts w:ascii="Garamond" w:hAnsi="Garamond" w:cs="Segoe UI"/>
          <w:sz w:val="24"/>
          <w:szCs w:val="24"/>
        </w:rPr>
        <w:t xml:space="preserve">. However, to comply with </w:t>
      </w:r>
      <w:r w:rsidR="003F23C3">
        <w:rPr>
          <w:rFonts w:ascii="Garamond" w:hAnsi="Garamond" w:cs="Segoe UI"/>
          <w:sz w:val="24"/>
          <w:szCs w:val="24"/>
        </w:rPr>
        <w:t xml:space="preserve">the </w:t>
      </w:r>
      <w:r>
        <w:rPr>
          <w:rFonts w:ascii="Garamond" w:hAnsi="Garamond" w:cs="Segoe UI"/>
          <w:sz w:val="24"/>
          <w:szCs w:val="24"/>
        </w:rPr>
        <w:t xml:space="preserve">requirements </w:t>
      </w:r>
      <w:r w:rsidR="003F23C3">
        <w:rPr>
          <w:rFonts w:ascii="Garamond" w:hAnsi="Garamond" w:cs="Segoe UI"/>
          <w:sz w:val="24"/>
          <w:szCs w:val="24"/>
        </w:rPr>
        <w:t xml:space="preserve">of </w:t>
      </w:r>
      <w:r>
        <w:rPr>
          <w:rFonts w:ascii="Garamond" w:hAnsi="Garamond" w:cs="Segoe UI"/>
          <w:sz w:val="24"/>
          <w:szCs w:val="24"/>
        </w:rPr>
        <w:t xml:space="preserve">§ 673.11(a)(2), your agency will need to include </w:t>
      </w:r>
      <w:r w:rsidRPr="0045519D">
        <w:rPr>
          <w:rFonts w:ascii="Garamond" w:hAnsi="Garamond" w:cs="Segoe UI"/>
          <w:sz w:val="24"/>
          <w:szCs w:val="24"/>
        </w:rPr>
        <w:t>specific</w:t>
      </w:r>
      <w:r>
        <w:rPr>
          <w:rFonts w:ascii="Garamond" w:hAnsi="Garamond" w:cs="Segoe UI"/>
          <w:sz w:val="24"/>
          <w:szCs w:val="24"/>
        </w:rPr>
        <w:t xml:space="preserve"> risk management and hazard identification and analysis</w:t>
      </w:r>
      <w:r w:rsidRPr="0045519D">
        <w:rPr>
          <w:rFonts w:ascii="Garamond" w:hAnsi="Garamond" w:cs="Segoe UI"/>
          <w:sz w:val="24"/>
          <w:szCs w:val="24"/>
        </w:rPr>
        <w:t xml:space="preserve"> methods an</w:t>
      </w:r>
      <w:r>
        <w:rPr>
          <w:rFonts w:ascii="Garamond" w:hAnsi="Garamond" w:cs="Segoe UI"/>
          <w:sz w:val="24"/>
          <w:szCs w:val="24"/>
        </w:rPr>
        <w:t>d processes for your final ASP (</w:t>
      </w:r>
      <w:r w:rsidRPr="0045519D">
        <w:rPr>
          <w:rFonts w:ascii="Garamond" w:hAnsi="Garamond" w:cs="Segoe UI"/>
          <w:sz w:val="24"/>
          <w:szCs w:val="24"/>
        </w:rPr>
        <w:t xml:space="preserve">in addition to information </w:t>
      </w:r>
      <w:r>
        <w:rPr>
          <w:rFonts w:ascii="Garamond" w:hAnsi="Garamond" w:cs="Segoe UI"/>
          <w:sz w:val="24"/>
          <w:szCs w:val="24"/>
        </w:rPr>
        <w:t>collected in Appendices B and C).</w:t>
      </w:r>
    </w:p>
    <w:p w:rsidR="0045519D" w:rsidRPr="0045519D" w:rsidRDefault="0045519D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sz w:val="24"/>
          <w:szCs w:val="24"/>
        </w:rPr>
      </w:pPr>
    </w:p>
    <w:p w:rsidR="0045519D" w:rsidRPr="0045519D" w:rsidRDefault="0045519D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sz w:val="24"/>
          <w:szCs w:val="24"/>
        </w:rPr>
      </w:pPr>
      <w:r>
        <w:rPr>
          <w:rFonts w:ascii="Garamond" w:hAnsi="Garamond" w:cs="Segoe UI"/>
          <w:sz w:val="24"/>
          <w:szCs w:val="24"/>
        </w:rPr>
        <w:t>You will need to</w:t>
      </w:r>
      <w:r w:rsidRPr="0045519D">
        <w:rPr>
          <w:rFonts w:ascii="Garamond" w:hAnsi="Garamond" w:cs="Segoe UI"/>
          <w:sz w:val="24"/>
          <w:szCs w:val="24"/>
        </w:rPr>
        <w:t xml:space="preserve"> explain how identified hazards and associated consequences are tracked and reviewed across </w:t>
      </w:r>
      <w:r>
        <w:rPr>
          <w:rFonts w:ascii="Garamond" w:hAnsi="Garamond" w:cs="Segoe UI"/>
          <w:sz w:val="24"/>
          <w:szCs w:val="24"/>
        </w:rPr>
        <w:t>your</w:t>
      </w:r>
      <w:r w:rsidRPr="0045519D">
        <w:rPr>
          <w:rFonts w:ascii="Garamond" w:hAnsi="Garamond" w:cs="Segoe UI"/>
          <w:sz w:val="24"/>
          <w:szCs w:val="24"/>
        </w:rPr>
        <w:t xml:space="preserve"> agency</w:t>
      </w:r>
      <w:r>
        <w:rPr>
          <w:rFonts w:ascii="Garamond" w:hAnsi="Garamond" w:cs="Segoe UI"/>
          <w:sz w:val="24"/>
          <w:szCs w:val="24"/>
        </w:rPr>
        <w:t xml:space="preserve">, as well as </w:t>
      </w:r>
      <w:r w:rsidRPr="0045519D">
        <w:rPr>
          <w:rFonts w:ascii="Garamond" w:hAnsi="Garamond" w:cs="Segoe UI"/>
          <w:sz w:val="24"/>
          <w:szCs w:val="24"/>
        </w:rPr>
        <w:t xml:space="preserve">who is responsible for managing this overall process. </w:t>
      </w:r>
      <w:r>
        <w:rPr>
          <w:rFonts w:ascii="Garamond" w:hAnsi="Garamond" w:cs="Segoe UI"/>
          <w:sz w:val="24"/>
          <w:szCs w:val="24"/>
        </w:rPr>
        <w:t>For example, your</w:t>
      </w:r>
      <w:r w:rsidRPr="0045519D">
        <w:rPr>
          <w:rFonts w:ascii="Garamond" w:hAnsi="Garamond" w:cs="Segoe UI"/>
          <w:sz w:val="24"/>
          <w:szCs w:val="24"/>
        </w:rPr>
        <w:t xml:space="preserve"> pro</w:t>
      </w:r>
      <w:r>
        <w:rPr>
          <w:rFonts w:ascii="Garamond" w:hAnsi="Garamond" w:cs="Segoe UI"/>
          <w:sz w:val="24"/>
          <w:szCs w:val="24"/>
        </w:rPr>
        <w:t>cess c</w:t>
      </w:r>
      <w:r w:rsidRPr="0045519D">
        <w:rPr>
          <w:rFonts w:ascii="Garamond" w:hAnsi="Garamond" w:cs="Segoe UI"/>
          <w:sz w:val="24"/>
          <w:szCs w:val="24"/>
        </w:rPr>
        <w:t>ould describe where the information is being saved, monitored, and analyzed</w:t>
      </w:r>
      <w:r>
        <w:rPr>
          <w:rFonts w:ascii="Garamond" w:hAnsi="Garamond" w:cs="Segoe UI"/>
          <w:sz w:val="24"/>
          <w:szCs w:val="24"/>
        </w:rPr>
        <w:t>,</w:t>
      </w:r>
      <w:r w:rsidRPr="0045519D">
        <w:rPr>
          <w:rFonts w:ascii="Garamond" w:hAnsi="Garamond" w:cs="Segoe UI"/>
          <w:sz w:val="24"/>
          <w:szCs w:val="24"/>
        </w:rPr>
        <w:t xml:space="preserve"> and who is responsible for each of the steps.</w:t>
      </w:r>
    </w:p>
    <w:p w:rsidR="0045519D" w:rsidRPr="0045519D" w:rsidRDefault="0045519D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sz w:val="24"/>
          <w:szCs w:val="24"/>
        </w:rPr>
      </w:pPr>
    </w:p>
    <w:p w:rsidR="0045519D" w:rsidRPr="0045519D" w:rsidRDefault="0045519D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sz w:val="24"/>
          <w:szCs w:val="24"/>
        </w:rPr>
      </w:pPr>
      <w:r w:rsidRPr="0045519D">
        <w:rPr>
          <w:rFonts w:ascii="Garamond" w:hAnsi="Garamond" w:cs="Segoe UI"/>
          <w:sz w:val="24"/>
          <w:szCs w:val="24"/>
        </w:rPr>
        <w:t xml:space="preserve">For additional information on this topic, review </w:t>
      </w:r>
      <w:hyperlink r:id="rId5" w:history="1">
        <w:r w:rsidRPr="0045519D">
          <w:rPr>
            <w:rStyle w:val="Hyperlink"/>
            <w:rFonts w:ascii="Garamond" w:hAnsi="Garamond" w:cs="Segoe UI"/>
            <w:sz w:val="24"/>
            <w:szCs w:val="24"/>
          </w:rPr>
          <w:t>FTA’s Guide to Developing the Safety Risk Management Component of a Public Transportation Agency Safety Plan</w:t>
        </w:r>
      </w:hyperlink>
      <w:r w:rsidRPr="0045519D">
        <w:rPr>
          <w:rFonts w:ascii="Garamond" w:hAnsi="Garamond" w:cs="Segoe UI"/>
          <w:sz w:val="24"/>
          <w:szCs w:val="24"/>
        </w:rPr>
        <w:t>.</w:t>
      </w:r>
    </w:p>
    <w:p w:rsidR="0045519D" w:rsidRPr="0045519D" w:rsidRDefault="0045519D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sz w:val="24"/>
          <w:szCs w:val="24"/>
        </w:rPr>
      </w:pPr>
    </w:p>
    <w:p w:rsidR="0045519D" w:rsidRDefault="0045519D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sz w:val="24"/>
          <w:szCs w:val="24"/>
        </w:rPr>
      </w:pPr>
      <w:r w:rsidRPr="0045519D">
        <w:rPr>
          <w:rFonts w:ascii="Garamond" w:hAnsi="Garamond" w:cs="Segoe UI"/>
          <w:sz w:val="24"/>
          <w:szCs w:val="24"/>
        </w:rPr>
        <w:t xml:space="preserve">Safety hazard identification guidance is also available in </w:t>
      </w:r>
      <w:hyperlink r:id="rId6" w:history="1">
        <w:r w:rsidRPr="003F23C3">
          <w:rPr>
            <w:rStyle w:val="Hyperlink"/>
            <w:rFonts w:ascii="Garamond" w:hAnsi="Garamond" w:cs="Segoe UI"/>
            <w:sz w:val="24"/>
            <w:szCs w:val="24"/>
          </w:rPr>
          <w:t xml:space="preserve">FTA’s Hazards and Consequences </w:t>
        </w:r>
        <w:proofErr w:type="spellStart"/>
        <w:r w:rsidRPr="003F23C3">
          <w:rPr>
            <w:rStyle w:val="Hyperlink"/>
            <w:rFonts w:ascii="Garamond" w:hAnsi="Garamond" w:cs="Segoe UI"/>
            <w:sz w:val="24"/>
            <w:szCs w:val="24"/>
          </w:rPr>
          <w:t>Self Guided</w:t>
        </w:r>
        <w:proofErr w:type="spellEnd"/>
        <w:r w:rsidRPr="003F23C3">
          <w:rPr>
            <w:rStyle w:val="Hyperlink"/>
            <w:rFonts w:ascii="Garamond" w:hAnsi="Garamond" w:cs="Segoe UI"/>
            <w:sz w:val="24"/>
            <w:szCs w:val="24"/>
          </w:rPr>
          <w:t xml:space="preserve"> Learning Tool</w:t>
        </w:r>
      </w:hyperlink>
      <w:r w:rsidRPr="0045519D">
        <w:rPr>
          <w:rFonts w:ascii="Garamond" w:hAnsi="Garamond" w:cs="Segoe UI"/>
          <w:sz w:val="24"/>
          <w:szCs w:val="24"/>
        </w:rPr>
        <w:t>.</w:t>
      </w:r>
    </w:p>
    <w:p w:rsidR="003F23C3" w:rsidRDefault="003F23C3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sz w:val="24"/>
          <w:szCs w:val="24"/>
        </w:rPr>
      </w:pPr>
    </w:p>
    <w:p w:rsidR="003F23C3" w:rsidRDefault="003F23C3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sz w:val="24"/>
          <w:szCs w:val="24"/>
        </w:rPr>
      </w:pPr>
      <w:r>
        <w:rPr>
          <w:rFonts w:ascii="Garamond" w:hAnsi="Garamond" w:cs="Segoe UI"/>
          <w:sz w:val="24"/>
          <w:szCs w:val="24"/>
        </w:rPr>
        <w:t>The following is checklist for safety risk management and safety assurance (two of the four components of a safety management system, or SMS) information you will need to include in your final ASP:</w:t>
      </w:r>
    </w:p>
    <w:p w:rsidR="0045519D" w:rsidRDefault="0045519D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sz w:val="24"/>
          <w:szCs w:val="24"/>
        </w:rPr>
      </w:pPr>
    </w:p>
    <w:p w:rsidR="00D53B2C" w:rsidRPr="003F23C3" w:rsidRDefault="00D53B2C" w:rsidP="0045519D">
      <w:pPr>
        <w:tabs>
          <w:tab w:val="left" w:pos="2880"/>
        </w:tabs>
        <w:spacing w:after="0" w:line="240" w:lineRule="auto"/>
        <w:rPr>
          <w:rFonts w:ascii="Garamond" w:hAnsi="Garamond" w:cs="Segoe UI"/>
          <w:b/>
          <w:sz w:val="24"/>
          <w:szCs w:val="24"/>
        </w:rPr>
      </w:pPr>
      <w:r w:rsidRPr="003F23C3">
        <w:rPr>
          <w:rFonts w:ascii="Garamond" w:hAnsi="Garamond" w:cs="Segoe UI"/>
          <w:b/>
          <w:sz w:val="24"/>
          <w:szCs w:val="24"/>
        </w:rPr>
        <w:t>Safety Risk Management (SRM)</w:t>
      </w:r>
    </w:p>
    <w:p w:rsidR="00D53B2C" w:rsidRPr="00D53B2C" w:rsidRDefault="00D53B2C" w:rsidP="00D53B2C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SRM definitions</w:t>
      </w:r>
    </w:p>
    <w:p w:rsidR="00D53B2C" w:rsidRPr="00D53B2C" w:rsidRDefault="00D53B2C" w:rsidP="00D53B2C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Roles and responsibilities for the SRM process</w:t>
      </w:r>
    </w:p>
    <w:p w:rsidR="00D53B2C" w:rsidRPr="00D53B2C" w:rsidRDefault="00D53B2C" w:rsidP="00D53B2C">
      <w:pPr>
        <w:pStyle w:val="ListParagraph"/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Including safety risk assessment, safety risk acceptance, and safety risk mitigation.</w:t>
      </w:r>
    </w:p>
    <w:p w:rsidR="00D53B2C" w:rsidRPr="00D53B2C" w:rsidRDefault="00D53B2C" w:rsidP="00D53B2C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Sources of information about hazards and consequences</w:t>
      </w:r>
    </w:p>
    <w:p w:rsidR="00D53B2C" w:rsidRPr="00D53B2C" w:rsidRDefault="00D53B2C" w:rsidP="00D53B2C">
      <w:pPr>
        <w:pStyle w:val="ListParagraph"/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Including any forms or tools used by the transit agency to report, receive, and review safety concerns</w:t>
      </w:r>
    </w:p>
    <w:p w:rsidR="00D53B2C" w:rsidRPr="00D53B2C" w:rsidRDefault="00D53B2C" w:rsidP="00D53B2C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Methods to document hazards and their potential consequences</w:t>
      </w:r>
    </w:p>
    <w:p w:rsidR="00D53B2C" w:rsidRPr="00D53B2C" w:rsidRDefault="00D53B2C" w:rsidP="00D53B2C">
      <w:pPr>
        <w:pStyle w:val="ListParagraph"/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Including any forms or tools used</w:t>
      </w:r>
    </w:p>
    <w:p w:rsidR="00D53B2C" w:rsidRPr="00D53B2C" w:rsidRDefault="00D53B2C" w:rsidP="00D53B2C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assessing the likelihood and severity of a hazard’s potential consequences</w:t>
      </w:r>
    </w:p>
    <w:p w:rsidR="00D53B2C" w:rsidRPr="00D53B2C" w:rsidRDefault="00D53B2C" w:rsidP="00D53B2C">
      <w:pPr>
        <w:pStyle w:val="ListParagraph"/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Taking existing mitigations into account</w:t>
      </w:r>
    </w:p>
    <w:p w:rsidR="00D53B2C" w:rsidRPr="00D53B2C" w:rsidRDefault="00D53B2C" w:rsidP="00D53B2C">
      <w:pPr>
        <w:pStyle w:val="ListParagraph"/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Including any tools, forms, or thresholds/matrices used to support and document the assessment</w:t>
      </w:r>
    </w:p>
    <w:p w:rsidR="00D53B2C" w:rsidRPr="00D53B2C" w:rsidRDefault="00D53B2C" w:rsidP="00D53B2C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Approach for prioritizing hazards based on safety risk</w:t>
      </w:r>
    </w:p>
    <w:p w:rsidR="00D53B2C" w:rsidRPr="00D53B2C" w:rsidRDefault="00D53B2C" w:rsidP="00D53B2C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Method for developing safety risk mitigations</w:t>
      </w:r>
    </w:p>
    <w:p w:rsidR="00D53B2C" w:rsidRPr="00D53B2C" w:rsidRDefault="00D53B2C" w:rsidP="00D53B2C">
      <w:p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D53B2C" w:rsidRPr="003F23C3" w:rsidRDefault="00D53B2C" w:rsidP="00D53B2C">
      <w:pPr>
        <w:tabs>
          <w:tab w:val="left" w:pos="2880"/>
        </w:tabs>
        <w:spacing w:after="0" w:line="240" w:lineRule="auto"/>
        <w:rPr>
          <w:rFonts w:ascii="Garamond" w:hAnsi="Garamond" w:cs="Segoe UI"/>
          <w:b/>
          <w:sz w:val="24"/>
          <w:szCs w:val="24"/>
        </w:rPr>
      </w:pPr>
      <w:r w:rsidRPr="003F23C3">
        <w:rPr>
          <w:rFonts w:ascii="Garamond" w:hAnsi="Garamond" w:cs="Segoe UI"/>
          <w:b/>
          <w:sz w:val="24"/>
          <w:szCs w:val="24"/>
        </w:rPr>
        <w:t>Safety Assurance (SA)</w:t>
      </w:r>
    </w:p>
    <w:p w:rsidR="00D53B2C" w:rsidRPr="00D53B2C" w:rsidRDefault="00D53B2C" w:rsidP="00D53B2C">
      <w:pPr>
        <w:pStyle w:val="ListParagraph"/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SA definitions</w:t>
      </w:r>
    </w:p>
    <w:p w:rsidR="00D53B2C" w:rsidRPr="00D53B2C" w:rsidRDefault="00D53B2C" w:rsidP="00D53B2C">
      <w:pPr>
        <w:pStyle w:val="ListParagraph"/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Authorities, accountabilities, and responsibilities for the SA process, including: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Safety performance monitoring and measurement</w:t>
      </w:r>
    </w:p>
    <w:p w:rsidR="00D53B2C" w:rsidRPr="00D53B2C" w:rsidRDefault="00D53B2C" w:rsidP="00D53B2C">
      <w:pPr>
        <w:pStyle w:val="ListParagraph"/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Process, methods or approach for monitoring compliance with, and sufficiency of, the agency's procedures for operations and maintenance, including: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List of operations and maintenance procedures to be monitored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Monitoring methods, frequency, forms, checklists, and tools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Methods and system for collecting and compiling compliance and sufficiency data, information, trends, and reports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lastRenderedPageBreak/>
        <w:t>Safety performance measures and targets and other means used to evaluate compliance and sufficiency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Criteria and method for documenting, reporting and resolving non-compliance and sufficiency issues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evaluating identified safety concerns through the agency's SRM process</w:t>
      </w:r>
    </w:p>
    <w:p w:rsidR="00D53B2C" w:rsidRPr="00D53B2C" w:rsidRDefault="00D53B2C" w:rsidP="00D53B2C">
      <w:pPr>
        <w:pStyle w:val="ListParagraph"/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monitoring operations to identify safety risk mitigations that may be ineffective, inappropriate, or not implemented as intended, including: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Methods, tools, forms, and criteria for documenting and monitoring mitigations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Criteria for identifying ineffective and inappropriate mitigations and those that are not performing as intended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Safety performance measures and targets and other means used to evaluate the effectiveness, appropriateness, and implementation of mitigations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documenting and resolving ineffective, inappropriate or poorly performing mitigations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evaluating identified safety concerns through the agency's SRM process</w:t>
      </w:r>
    </w:p>
    <w:p w:rsidR="00D53B2C" w:rsidRPr="00D53B2C" w:rsidRDefault="00D53B2C" w:rsidP="00D53B2C">
      <w:pPr>
        <w:pStyle w:val="ListParagraph"/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Approach for conducting investigations of safety events to identify causal factors, including: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Investigation procedures, forms, checklists, report templates, and completed reports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Supporting materials for conducting investigations (e.g., driver and witness statements, supervisor reports, police reports, camera footage and electronic device recordings and records, photographs, analysis reports)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Method for documenting mitigations in place at the time of the safety event and for assessing their effectiveness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identifying, documenting, and addressing causal factors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evaluating identified safety concerns through the agency's SRM process</w:t>
      </w:r>
    </w:p>
    <w:p w:rsidR="00D53B2C" w:rsidRPr="00D53B2C" w:rsidRDefault="00D53B2C" w:rsidP="00D53B2C">
      <w:pPr>
        <w:pStyle w:val="ListParagraph"/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monitoring information reported through any internal safety reporting programs, including: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List of internal safety reporting programs to be monitored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reviewing, managing and responding to information captured in the Employee Safety Reporting Program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reviewing, managing, and responding to information from other reporting programs at the agency</w:t>
      </w:r>
    </w:p>
    <w:p w:rsidR="00D53B2C" w:rsidRPr="00D53B2C" w:rsidRDefault="00D53B2C" w:rsidP="00D53B2C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53B2C">
        <w:rPr>
          <w:rFonts w:ascii="Garamond" w:hAnsi="Garamond"/>
          <w:sz w:val="24"/>
          <w:szCs w:val="24"/>
        </w:rPr>
        <w:t>Process for evaluating identified safety concerns through the agency's SRM process</w:t>
      </w:r>
    </w:p>
    <w:p w:rsidR="00F013EA" w:rsidRDefault="00F013EA"/>
    <w:sectPr w:rsidR="00F0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41F"/>
    <w:multiLevelType w:val="hybridMultilevel"/>
    <w:tmpl w:val="49D49864"/>
    <w:lvl w:ilvl="0" w:tplc="EFF66B7A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302"/>
    <w:multiLevelType w:val="hybridMultilevel"/>
    <w:tmpl w:val="3FFE688C"/>
    <w:lvl w:ilvl="0" w:tplc="EFF66B7A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2C"/>
    <w:rsid w:val="00004386"/>
    <w:rsid w:val="00004A7D"/>
    <w:rsid w:val="00006079"/>
    <w:rsid w:val="00011A2D"/>
    <w:rsid w:val="000162D2"/>
    <w:rsid w:val="00027619"/>
    <w:rsid w:val="00031604"/>
    <w:rsid w:val="000324BD"/>
    <w:rsid w:val="00057414"/>
    <w:rsid w:val="00057ECD"/>
    <w:rsid w:val="0006089E"/>
    <w:rsid w:val="00070804"/>
    <w:rsid w:val="00071805"/>
    <w:rsid w:val="00072B1D"/>
    <w:rsid w:val="000A0F73"/>
    <w:rsid w:val="000A494B"/>
    <w:rsid w:val="000A7A41"/>
    <w:rsid w:val="000B191B"/>
    <w:rsid w:val="000B1F4F"/>
    <w:rsid w:val="000B2703"/>
    <w:rsid w:val="000B77F5"/>
    <w:rsid w:val="000C019B"/>
    <w:rsid w:val="000D7459"/>
    <w:rsid w:val="00107D3C"/>
    <w:rsid w:val="001321A8"/>
    <w:rsid w:val="001364C6"/>
    <w:rsid w:val="00140BFE"/>
    <w:rsid w:val="001460C4"/>
    <w:rsid w:val="00151346"/>
    <w:rsid w:val="00153BB6"/>
    <w:rsid w:val="001653DF"/>
    <w:rsid w:val="00170BD6"/>
    <w:rsid w:val="001732B1"/>
    <w:rsid w:val="00176FBC"/>
    <w:rsid w:val="001810C2"/>
    <w:rsid w:val="001835D4"/>
    <w:rsid w:val="00183DD8"/>
    <w:rsid w:val="001979AD"/>
    <w:rsid w:val="001A1670"/>
    <w:rsid w:val="001B5D9E"/>
    <w:rsid w:val="001D6B47"/>
    <w:rsid w:val="001E0FE5"/>
    <w:rsid w:val="00207688"/>
    <w:rsid w:val="002123B1"/>
    <w:rsid w:val="00217E9A"/>
    <w:rsid w:val="00220148"/>
    <w:rsid w:val="00220179"/>
    <w:rsid w:val="002219DB"/>
    <w:rsid w:val="002256AD"/>
    <w:rsid w:val="002262EA"/>
    <w:rsid w:val="00226A46"/>
    <w:rsid w:val="00227443"/>
    <w:rsid w:val="002330BB"/>
    <w:rsid w:val="002448F2"/>
    <w:rsid w:val="0024553B"/>
    <w:rsid w:val="00254F3F"/>
    <w:rsid w:val="00257F0E"/>
    <w:rsid w:val="0026381B"/>
    <w:rsid w:val="002713D4"/>
    <w:rsid w:val="0028089F"/>
    <w:rsid w:val="00280DCD"/>
    <w:rsid w:val="002831FA"/>
    <w:rsid w:val="0028365E"/>
    <w:rsid w:val="00287B6B"/>
    <w:rsid w:val="002A6DA8"/>
    <w:rsid w:val="002B0BFD"/>
    <w:rsid w:val="002B58B1"/>
    <w:rsid w:val="002B5ECF"/>
    <w:rsid w:val="002C32FB"/>
    <w:rsid w:val="002D3458"/>
    <w:rsid w:val="002D642F"/>
    <w:rsid w:val="0031263D"/>
    <w:rsid w:val="00323224"/>
    <w:rsid w:val="003232B0"/>
    <w:rsid w:val="003408F8"/>
    <w:rsid w:val="00352BE7"/>
    <w:rsid w:val="00360081"/>
    <w:rsid w:val="003626E8"/>
    <w:rsid w:val="00365BFD"/>
    <w:rsid w:val="00367ED9"/>
    <w:rsid w:val="00372878"/>
    <w:rsid w:val="0038010E"/>
    <w:rsid w:val="00380FEF"/>
    <w:rsid w:val="003B3806"/>
    <w:rsid w:val="003C1B72"/>
    <w:rsid w:val="003C33EB"/>
    <w:rsid w:val="003D481B"/>
    <w:rsid w:val="003E6E01"/>
    <w:rsid w:val="003F23C3"/>
    <w:rsid w:val="003F704D"/>
    <w:rsid w:val="004041CA"/>
    <w:rsid w:val="004214B1"/>
    <w:rsid w:val="004228F0"/>
    <w:rsid w:val="004329AD"/>
    <w:rsid w:val="004346FD"/>
    <w:rsid w:val="004374EB"/>
    <w:rsid w:val="00444B23"/>
    <w:rsid w:val="00445171"/>
    <w:rsid w:val="00450B6B"/>
    <w:rsid w:val="00450DFB"/>
    <w:rsid w:val="0045519D"/>
    <w:rsid w:val="004624AE"/>
    <w:rsid w:val="00466096"/>
    <w:rsid w:val="0046659D"/>
    <w:rsid w:val="00467FC0"/>
    <w:rsid w:val="0047256B"/>
    <w:rsid w:val="00495F08"/>
    <w:rsid w:val="00496D87"/>
    <w:rsid w:val="004970DB"/>
    <w:rsid w:val="004B58E8"/>
    <w:rsid w:val="004C195A"/>
    <w:rsid w:val="004C3356"/>
    <w:rsid w:val="004E0402"/>
    <w:rsid w:val="004E259B"/>
    <w:rsid w:val="00505DF5"/>
    <w:rsid w:val="00512B6D"/>
    <w:rsid w:val="00520867"/>
    <w:rsid w:val="005272F2"/>
    <w:rsid w:val="0054203D"/>
    <w:rsid w:val="00546C9F"/>
    <w:rsid w:val="0055204B"/>
    <w:rsid w:val="00554ED3"/>
    <w:rsid w:val="00562BD9"/>
    <w:rsid w:val="005636F6"/>
    <w:rsid w:val="0057280C"/>
    <w:rsid w:val="00577F50"/>
    <w:rsid w:val="0059157D"/>
    <w:rsid w:val="005975D8"/>
    <w:rsid w:val="00597A5F"/>
    <w:rsid w:val="005A179A"/>
    <w:rsid w:val="005A2BDA"/>
    <w:rsid w:val="005A3D63"/>
    <w:rsid w:val="005B05AC"/>
    <w:rsid w:val="005B093A"/>
    <w:rsid w:val="005B2282"/>
    <w:rsid w:val="005C015B"/>
    <w:rsid w:val="005E28FE"/>
    <w:rsid w:val="005E3CC2"/>
    <w:rsid w:val="005E6169"/>
    <w:rsid w:val="005F3DEE"/>
    <w:rsid w:val="00611420"/>
    <w:rsid w:val="00613417"/>
    <w:rsid w:val="006145CB"/>
    <w:rsid w:val="006250E9"/>
    <w:rsid w:val="006276F4"/>
    <w:rsid w:val="00637D32"/>
    <w:rsid w:val="00667211"/>
    <w:rsid w:val="0066739C"/>
    <w:rsid w:val="00670FD9"/>
    <w:rsid w:val="00682C93"/>
    <w:rsid w:val="00691F59"/>
    <w:rsid w:val="006941A8"/>
    <w:rsid w:val="006A31C3"/>
    <w:rsid w:val="006B11F0"/>
    <w:rsid w:val="006C5332"/>
    <w:rsid w:val="006C5436"/>
    <w:rsid w:val="006C6096"/>
    <w:rsid w:val="006D007C"/>
    <w:rsid w:val="006D02F1"/>
    <w:rsid w:val="006D23DC"/>
    <w:rsid w:val="006D67D2"/>
    <w:rsid w:val="006D6967"/>
    <w:rsid w:val="006D7DE6"/>
    <w:rsid w:val="006E6F69"/>
    <w:rsid w:val="006E76CF"/>
    <w:rsid w:val="006F2A90"/>
    <w:rsid w:val="006F634A"/>
    <w:rsid w:val="006F6A7E"/>
    <w:rsid w:val="0070244E"/>
    <w:rsid w:val="00702B45"/>
    <w:rsid w:val="00717F7C"/>
    <w:rsid w:val="00727B2B"/>
    <w:rsid w:val="0073047B"/>
    <w:rsid w:val="007307DD"/>
    <w:rsid w:val="00751B7C"/>
    <w:rsid w:val="00752B65"/>
    <w:rsid w:val="0075669A"/>
    <w:rsid w:val="007611FC"/>
    <w:rsid w:val="00766B8E"/>
    <w:rsid w:val="0077058F"/>
    <w:rsid w:val="0077557F"/>
    <w:rsid w:val="00782872"/>
    <w:rsid w:val="0078572E"/>
    <w:rsid w:val="00794628"/>
    <w:rsid w:val="007A16F4"/>
    <w:rsid w:val="007B0292"/>
    <w:rsid w:val="007B1882"/>
    <w:rsid w:val="007B5FD0"/>
    <w:rsid w:val="007C1CCE"/>
    <w:rsid w:val="007C5222"/>
    <w:rsid w:val="007D1DD4"/>
    <w:rsid w:val="007E7297"/>
    <w:rsid w:val="007F1223"/>
    <w:rsid w:val="007F277C"/>
    <w:rsid w:val="007F4020"/>
    <w:rsid w:val="007F475D"/>
    <w:rsid w:val="007F4971"/>
    <w:rsid w:val="0080224C"/>
    <w:rsid w:val="0080744A"/>
    <w:rsid w:val="008101E8"/>
    <w:rsid w:val="00827B43"/>
    <w:rsid w:val="00847754"/>
    <w:rsid w:val="008564AA"/>
    <w:rsid w:val="0087321D"/>
    <w:rsid w:val="008760E5"/>
    <w:rsid w:val="008823B1"/>
    <w:rsid w:val="00892DCE"/>
    <w:rsid w:val="00893808"/>
    <w:rsid w:val="008B3663"/>
    <w:rsid w:val="008B483A"/>
    <w:rsid w:val="008B79DF"/>
    <w:rsid w:val="008B7ED1"/>
    <w:rsid w:val="008C3C8C"/>
    <w:rsid w:val="008D17A9"/>
    <w:rsid w:val="008E5442"/>
    <w:rsid w:val="008E58BE"/>
    <w:rsid w:val="008F6632"/>
    <w:rsid w:val="009103AC"/>
    <w:rsid w:val="009165A1"/>
    <w:rsid w:val="009165CB"/>
    <w:rsid w:val="0091788D"/>
    <w:rsid w:val="00922C76"/>
    <w:rsid w:val="00927020"/>
    <w:rsid w:val="009355DB"/>
    <w:rsid w:val="009420FF"/>
    <w:rsid w:val="00953F46"/>
    <w:rsid w:val="009637C2"/>
    <w:rsid w:val="00976799"/>
    <w:rsid w:val="00984E76"/>
    <w:rsid w:val="009967E4"/>
    <w:rsid w:val="009A7762"/>
    <w:rsid w:val="009D6B6A"/>
    <w:rsid w:val="009E0175"/>
    <w:rsid w:val="009E2182"/>
    <w:rsid w:val="009E49D3"/>
    <w:rsid w:val="00A00418"/>
    <w:rsid w:val="00A04AB1"/>
    <w:rsid w:val="00A05587"/>
    <w:rsid w:val="00A06BBF"/>
    <w:rsid w:val="00A1481D"/>
    <w:rsid w:val="00A15C70"/>
    <w:rsid w:val="00A1629C"/>
    <w:rsid w:val="00A24089"/>
    <w:rsid w:val="00A4009F"/>
    <w:rsid w:val="00A4549F"/>
    <w:rsid w:val="00A47BE4"/>
    <w:rsid w:val="00A47CC3"/>
    <w:rsid w:val="00A5241D"/>
    <w:rsid w:val="00A52688"/>
    <w:rsid w:val="00A572CF"/>
    <w:rsid w:val="00A57723"/>
    <w:rsid w:val="00A600D1"/>
    <w:rsid w:val="00A611F8"/>
    <w:rsid w:val="00A61F1A"/>
    <w:rsid w:val="00A67C73"/>
    <w:rsid w:val="00A75E26"/>
    <w:rsid w:val="00A76BED"/>
    <w:rsid w:val="00A81B38"/>
    <w:rsid w:val="00A83ADC"/>
    <w:rsid w:val="00A900DD"/>
    <w:rsid w:val="00A936FD"/>
    <w:rsid w:val="00A95248"/>
    <w:rsid w:val="00AA05AB"/>
    <w:rsid w:val="00AA10CA"/>
    <w:rsid w:val="00AA170E"/>
    <w:rsid w:val="00AA368F"/>
    <w:rsid w:val="00AA534D"/>
    <w:rsid w:val="00AB2609"/>
    <w:rsid w:val="00AC6F25"/>
    <w:rsid w:val="00AE3478"/>
    <w:rsid w:val="00AF1607"/>
    <w:rsid w:val="00AF4F60"/>
    <w:rsid w:val="00B01F19"/>
    <w:rsid w:val="00B230CD"/>
    <w:rsid w:val="00B24F85"/>
    <w:rsid w:val="00B30464"/>
    <w:rsid w:val="00B42169"/>
    <w:rsid w:val="00B52B77"/>
    <w:rsid w:val="00B63846"/>
    <w:rsid w:val="00B641C3"/>
    <w:rsid w:val="00B70281"/>
    <w:rsid w:val="00B804ED"/>
    <w:rsid w:val="00B965F2"/>
    <w:rsid w:val="00B97995"/>
    <w:rsid w:val="00BA0B0B"/>
    <w:rsid w:val="00BB131A"/>
    <w:rsid w:val="00BB1E54"/>
    <w:rsid w:val="00BB6BE4"/>
    <w:rsid w:val="00BC1123"/>
    <w:rsid w:val="00BD550A"/>
    <w:rsid w:val="00BD5B5C"/>
    <w:rsid w:val="00BF26F9"/>
    <w:rsid w:val="00BF35BE"/>
    <w:rsid w:val="00BF4A11"/>
    <w:rsid w:val="00BF68F0"/>
    <w:rsid w:val="00C00930"/>
    <w:rsid w:val="00C02A45"/>
    <w:rsid w:val="00C07624"/>
    <w:rsid w:val="00C15139"/>
    <w:rsid w:val="00C2429E"/>
    <w:rsid w:val="00C263D9"/>
    <w:rsid w:val="00C26C00"/>
    <w:rsid w:val="00C357DE"/>
    <w:rsid w:val="00C370A1"/>
    <w:rsid w:val="00C37615"/>
    <w:rsid w:val="00C44AFE"/>
    <w:rsid w:val="00C5190C"/>
    <w:rsid w:val="00C66F3C"/>
    <w:rsid w:val="00C80E23"/>
    <w:rsid w:val="00C90D3C"/>
    <w:rsid w:val="00C95EAA"/>
    <w:rsid w:val="00CA07BD"/>
    <w:rsid w:val="00CA11D2"/>
    <w:rsid w:val="00CA78A1"/>
    <w:rsid w:val="00CD05B7"/>
    <w:rsid w:val="00CD1BC8"/>
    <w:rsid w:val="00CD4670"/>
    <w:rsid w:val="00CE39A4"/>
    <w:rsid w:val="00CF3363"/>
    <w:rsid w:val="00D05977"/>
    <w:rsid w:val="00D14967"/>
    <w:rsid w:val="00D16EBB"/>
    <w:rsid w:val="00D207F8"/>
    <w:rsid w:val="00D23E20"/>
    <w:rsid w:val="00D4044B"/>
    <w:rsid w:val="00D41980"/>
    <w:rsid w:val="00D434DA"/>
    <w:rsid w:val="00D53B2C"/>
    <w:rsid w:val="00D5791B"/>
    <w:rsid w:val="00DA09EA"/>
    <w:rsid w:val="00DA20BA"/>
    <w:rsid w:val="00DA6F5C"/>
    <w:rsid w:val="00DB6B13"/>
    <w:rsid w:val="00DB6BAD"/>
    <w:rsid w:val="00DC11BC"/>
    <w:rsid w:val="00DC4C14"/>
    <w:rsid w:val="00DC5493"/>
    <w:rsid w:val="00DD0605"/>
    <w:rsid w:val="00DF2AA9"/>
    <w:rsid w:val="00E025E0"/>
    <w:rsid w:val="00E07CEE"/>
    <w:rsid w:val="00E1013F"/>
    <w:rsid w:val="00E1270A"/>
    <w:rsid w:val="00E14862"/>
    <w:rsid w:val="00E1513D"/>
    <w:rsid w:val="00E23A87"/>
    <w:rsid w:val="00E2436C"/>
    <w:rsid w:val="00E34254"/>
    <w:rsid w:val="00E408BC"/>
    <w:rsid w:val="00E41C53"/>
    <w:rsid w:val="00E45310"/>
    <w:rsid w:val="00E45B59"/>
    <w:rsid w:val="00E517D0"/>
    <w:rsid w:val="00E5606C"/>
    <w:rsid w:val="00E61B41"/>
    <w:rsid w:val="00E7014A"/>
    <w:rsid w:val="00E83EFD"/>
    <w:rsid w:val="00E83FAE"/>
    <w:rsid w:val="00E864A5"/>
    <w:rsid w:val="00E87D1F"/>
    <w:rsid w:val="00E90CEB"/>
    <w:rsid w:val="00EA05AC"/>
    <w:rsid w:val="00EA0796"/>
    <w:rsid w:val="00EB3CDF"/>
    <w:rsid w:val="00EB42FE"/>
    <w:rsid w:val="00EC03E3"/>
    <w:rsid w:val="00EC2718"/>
    <w:rsid w:val="00ED44EC"/>
    <w:rsid w:val="00ED5100"/>
    <w:rsid w:val="00ED7833"/>
    <w:rsid w:val="00EE1384"/>
    <w:rsid w:val="00EE2086"/>
    <w:rsid w:val="00EF530A"/>
    <w:rsid w:val="00EF7B2B"/>
    <w:rsid w:val="00F013EA"/>
    <w:rsid w:val="00F01772"/>
    <w:rsid w:val="00F01D32"/>
    <w:rsid w:val="00F07E59"/>
    <w:rsid w:val="00F15EE6"/>
    <w:rsid w:val="00F364EC"/>
    <w:rsid w:val="00F46D87"/>
    <w:rsid w:val="00F536C3"/>
    <w:rsid w:val="00F61C89"/>
    <w:rsid w:val="00F62E42"/>
    <w:rsid w:val="00F70D63"/>
    <w:rsid w:val="00F729E6"/>
    <w:rsid w:val="00F80A66"/>
    <w:rsid w:val="00F97F66"/>
    <w:rsid w:val="00FA1F06"/>
    <w:rsid w:val="00FB0CF1"/>
    <w:rsid w:val="00FB544F"/>
    <w:rsid w:val="00FC589B"/>
    <w:rsid w:val="00FC7627"/>
    <w:rsid w:val="00FD02D2"/>
    <w:rsid w:val="00FD1497"/>
    <w:rsid w:val="00FD6A0E"/>
    <w:rsid w:val="00FE59A3"/>
    <w:rsid w:val="00FE7844"/>
    <w:rsid w:val="00FF047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58421-CB2E-4476-A389-87AFF573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B2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5D4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5D4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5332"/>
    <w:pPr>
      <w:keepNext/>
      <w:keepLines/>
      <w:spacing w:before="40" w:after="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5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5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5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5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5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5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5D4"/>
    <w:pPr>
      <w:spacing w:after="0" w:line="240" w:lineRule="auto"/>
      <w:contextualSpacing/>
    </w:pPr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35D4"/>
    <w:rPr>
      <w:rFonts w:ascii="Segoe UI" w:eastAsiaTheme="majorEastAsia" w:hAnsi="Segoe U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5D4"/>
    <w:rPr>
      <w:rFonts w:ascii="Segoe UI" w:eastAsiaTheme="majorEastAsia" w:hAnsi="Segoe UI" w:cstheme="majorBidi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35D4"/>
    <w:pPr>
      <w:spacing w:after="0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5D4"/>
    <w:rPr>
      <w:rFonts w:ascii="Segoe UI" w:eastAsiaTheme="majorEastAsia" w:hAnsi="Segoe UI" w:cstheme="majorBidi"/>
      <w:b/>
      <w:spacing w:val="-10"/>
      <w:kern w:val="28"/>
      <w:sz w:val="56"/>
      <w:szCs w:val="56"/>
    </w:rPr>
  </w:style>
  <w:style w:type="paragraph" w:customStyle="1" w:styleId="SSO">
    <w:name w:val="SSO"/>
    <w:basedOn w:val="NoSpacing"/>
    <w:link w:val="SSOChar"/>
    <w:qFormat/>
    <w:rsid w:val="001835D4"/>
  </w:style>
  <w:style w:type="character" w:customStyle="1" w:styleId="SSOChar">
    <w:name w:val="SSO Char"/>
    <w:basedOn w:val="DefaultParagraphFont"/>
    <w:link w:val="SSO"/>
    <w:rsid w:val="001835D4"/>
    <w:rPr>
      <w:rFonts w:ascii="Garamond" w:hAnsi="Garamon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C5332"/>
    <w:rPr>
      <w:rFonts w:ascii="Segoe UI" w:eastAsiaTheme="majorEastAsia" w:hAnsi="Segoe UI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5D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5D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5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5D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5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5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35D4"/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5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35D4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835D4"/>
    <w:rPr>
      <w:b/>
      <w:bCs/>
    </w:rPr>
  </w:style>
  <w:style w:type="character" w:styleId="Emphasis">
    <w:name w:val="Emphasis"/>
    <w:basedOn w:val="DefaultParagraphFont"/>
    <w:uiPriority w:val="20"/>
    <w:qFormat/>
    <w:rsid w:val="001835D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835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5D4"/>
    <w:rPr>
      <w:rFonts w:ascii="Segoe UI" w:hAnsi="Segoe UI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5D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5D4"/>
    <w:rPr>
      <w:rFonts w:ascii="Segoe UI" w:hAnsi="Segoe UI"/>
      <w:i/>
      <w:iCs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835D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35D4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835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835D4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835D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5D4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ListParagraph">
    <w:name w:val="List Paragraph"/>
    <w:basedOn w:val="Normal"/>
    <w:uiPriority w:val="34"/>
    <w:qFormat/>
    <w:rsid w:val="00D53B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1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it.dot.gov/regulations-and-guidance/safety/ptasp-hazards-and-consequences-self-guided-learning-too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transit.dot.gov/regulations-and-guidance/safety/public-transportation-agency-safety-program/safety-risk-management-fact-shee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0CA329-5533-4CCF-83AE-3337AF6BCDCF}"/>
</file>

<file path=customXml/itemProps2.xml><?xml version="1.0" encoding="utf-8"?>
<ds:datastoreItem xmlns:ds="http://schemas.openxmlformats.org/officeDocument/2006/customXml" ds:itemID="{A9DE192A-FE93-49FA-99C1-2765B56D38FA}"/>
</file>

<file path=customXml/itemProps3.xml><?xml version="1.0" encoding="utf-8"?>
<ds:datastoreItem xmlns:ds="http://schemas.openxmlformats.org/officeDocument/2006/customXml" ds:itemID="{82BC61A6-8B4F-45B7-B113-6520E1667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	Section 2 Guide – Safety Risk Management Checklist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Section 2 Guide – Safety Risk Management Checklist</dc:title>
  <dc:subject/>
  <dc:creator>STOEGBAUER, ERIC</dc:creator>
  <cp:keywords/>
  <dc:description/>
  <cp:lastModifiedBy>Thyes, Dan - DOT</cp:lastModifiedBy>
  <cp:revision>4</cp:revision>
  <dcterms:created xsi:type="dcterms:W3CDTF">2019-11-05T18:54:00Z</dcterms:created>
  <dcterms:modified xsi:type="dcterms:W3CDTF">2020-01-28T14:40:00Z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