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05E" w:rsidRPr="0018410B" w:rsidRDefault="0018410B" w:rsidP="00BD005E">
      <w:pPr>
        <w:rPr>
          <w:rFonts w:cs="Segoe UI"/>
          <w:sz w:val="36"/>
          <w:szCs w:val="36"/>
        </w:rPr>
      </w:pPr>
      <w:bookmarkStart w:id="0" w:name="_GoBack"/>
      <w:bookmarkEnd w:id="0"/>
      <w:r w:rsidRPr="0018410B">
        <w:rPr>
          <w:rFonts w:cs="Segoe UI"/>
          <w:sz w:val="36"/>
          <w:szCs w:val="36"/>
        </w:rPr>
        <w:t>Safety Performance Measures</w:t>
      </w:r>
    </w:p>
    <w:p w:rsidR="00BD005E" w:rsidRDefault="00BD005E" w:rsidP="00BD005E">
      <w:pPr>
        <w:rPr>
          <w:rFonts w:ascii="Garamond" w:hAnsi="Garamond"/>
        </w:rPr>
      </w:pPr>
    </w:p>
    <w:p w:rsidR="001B1024" w:rsidRDefault="006478B2" w:rsidP="00BD005E">
      <w:pPr>
        <w:rPr>
          <w:rFonts w:ascii="Garamond" w:hAnsi="Garamond"/>
        </w:rPr>
      </w:pPr>
      <w:hyperlink r:id="rId7" w:history="1">
        <w:r w:rsidR="001B1024" w:rsidRPr="001B1024">
          <w:rPr>
            <w:rStyle w:val="Hyperlink"/>
            <w:rFonts w:ascii="Garamond" w:hAnsi="Garamond"/>
          </w:rPr>
          <w:t>The National Safety Plan</w:t>
        </w:r>
      </w:hyperlink>
      <w:r w:rsidR="001B1024">
        <w:rPr>
          <w:rFonts w:ascii="Garamond" w:hAnsi="Garamond"/>
        </w:rPr>
        <w:t xml:space="preserve"> indicates four safety performance measures that must be included in an agency’s PTASP:</w:t>
      </w:r>
    </w:p>
    <w:p w:rsidR="001B1024" w:rsidRPr="00BD005E" w:rsidRDefault="001B1024" w:rsidP="00BD005E">
      <w:pPr>
        <w:rPr>
          <w:rFonts w:ascii="Garamond" w:hAnsi="Garamond"/>
        </w:rPr>
      </w:pPr>
    </w:p>
    <w:p w:rsidR="00BD005E" w:rsidRPr="00BD005E" w:rsidRDefault="00BD005E" w:rsidP="00BD005E">
      <w:pPr>
        <w:rPr>
          <w:rFonts w:cs="Segoe UI"/>
          <w:b/>
        </w:rPr>
      </w:pPr>
      <w:r w:rsidRPr="00BD005E">
        <w:rPr>
          <w:rFonts w:cs="Segoe UI"/>
          <w:b/>
        </w:rPr>
        <w:t>FATALITIES</w:t>
      </w:r>
    </w:p>
    <w:p w:rsidR="00BD005E" w:rsidRPr="00BD005E" w:rsidRDefault="00BD005E" w:rsidP="00BD005E">
      <w:pPr>
        <w:rPr>
          <w:rFonts w:cs="Segoe UI"/>
        </w:rPr>
      </w:pPr>
      <w:r w:rsidRPr="00BD005E">
        <w:rPr>
          <w:rFonts w:cs="Segoe UI"/>
        </w:rPr>
        <w:t>Total number of reportable fatalities and rate per total vehicle revenue miles by mode</w:t>
      </w:r>
    </w:p>
    <w:p w:rsidR="00BD005E" w:rsidRPr="00BD005E" w:rsidRDefault="00BD005E" w:rsidP="00BD005E">
      <w:pPr>
        <w:rPr>
          <w:rFonts w:ascii="Garamond" w:hAnsi="Garamond"/>
        </w:rPr>
      </w:pPr>
    </w:p>
    <w:p w:rsidR="00BD005E" w:rsidRPr="00BD005E" w:rsidRDefault="00BD005E" w:rsidP="00BD005E">
      <w:pPr>
        <w:rPr>
          <w:rFonts w:ascii="Garamond" w:hAnsi="Garamond"/>
        </w:rPr>
      </w:pPr>
      <w:r w:rsidRPr="00BD005E">
        <w:rPr>
          <w:rFonts w:ascii="Garamond" w:hAnsi="Garamond"/>
        </w:rPr>
        <w:t xml:space="preserve">Reducing the number of fatalities is a top priority for the entire </w:t>
      </w:r>
      <w:r w:rsidR="0018410B">
        <w:rPr>
          <w:rFonts w:ascii="Garamond" w:hAnsi="Garamond"/>
        </w:rPr>
        <w:t>US DOT</w:t>
      </w:r>
      <w:r w:rsidRPr="00BD005E">
        <w:rPr>
          <w:rFonts w:ascii="Garamond" w:hAnsi="Garamond"/>
        </w:rPr>
        <w:t xml:space="preserve">. As an industry, we must try to understand the factors involved in each fatality in order </w:t>
      </w:r>
      <w:r w:rsidR="0018410B">
        <w:rPr>
          <w:rFonts w:ascii="Garamond" w:hAnsi="Garamond"/>
        </w:rPr>
        <w:t xml:space="preserve">to prevent further occurrences. </w:t>
      </w:r>
      <w:r w:rsidRPr="00BD005E">
        <w:rPr>
          <w:rFonts w:ascii="Garamond" w:hAnsi="Garamond"/>
        </w:rPr>
        <w:t>Measuring the number of fatalities over vehicle revenue miles, by mode, provides a fatality rate from which to assess future performance.</w:t>
      </w:r>
    </w:p>
    <w:p w:rsidR="00BD005E" w:rsidRPr="00BD005E" w:rsidRDefault="00BD005E" w:rsidP="00BD005E">
      <w:pPr>
        <w:rPr>
          <w:rFonts w:ascii="Garamond" w:hAnsi="Garamond"/>
        </w:rPr>
      </w:pPr>
    </w:p>
    <w:p w:rsidR="00BD005E" w:rsidRPr="00BD005E" w:rsidRDefault="00BD005E" w:rsidP="00BD005E">
      <w:pPr>
        <w:rPr>
          <w:rFonts w:cs="Segoe UI"/>
          <w:b/>
        </w:rPr>
      </w:pPr>
      <w:r w:rsidRPr="00BD005E">
        <w:rPr>
          <w:rFonts w:cs="Segoe UI"/>
          <w:b/>
        </w:rPr>
        <w:t>INJURIES</w:t>
      </w:r>
    </w:p>
    <w:p w:rsidR="00BD005E" w:rsidRPr="00BD005E" w:rsidRDefault="00BD005E" w:rsidP="00BD005E">
      <w:pPr>
        <w:rPr>
          <w:rFonts w:cs="Segoe UI"/>
        </w:rPr>
      </w:pPr>
      <w:r w:rsidRPr="00BD005E">
        <w:rPr>
          <w:rFonts w:cs="Segoe UI"/>
        </w:rPr>
        <w:t>Total number of reportable* injuries and rate per total vehicle revenue miles by mode</w:t>
      </w:r>
    </w:p>
    <w:p w:rsidR="00BD005E" w:rsidRPr="00BD005E" w:rsidRDefault="00BD005E" w:rsidP="00BD005E">
      <w:pPr>
        <w:rPr>
          <w:rFonts w:ascii="Garamond" w:hAnsi="Garamond" w:cs="Segoe UI"/>
        </w:rPr>
      </w:pPr>
    </w:p>
    <w:p w:rsidR="00BD005E" w:rsidRPr="00BD005E" w:rsidRDefault="00BD005E" w:rsidP="00BD005E">
      <w:pPr>
        <w:rPr>
          <w:rFonts w:cs="Segoe UI"/>
        </w:rPr>
      </w:pPr>
      <w:r w:rsidRPr="00BD005E">
        <w:rPr>
          <w:rFonts w:cs="Segoe UI"/>
        </w:rPr>
        <w:t xml:space="preserve">*The thresholds for “reportable” fatalities, injuries, and events are defined in the </w:t>
      </w:r>
      <w:hyperlink r:id="rId8" w:history="1">
        <w:r w:rsidRPr="001B1024">
          <w:rPr>
            <w:rStyle w:val="Hyperlink"/>
            <w:rFonts w:cs="Segoe UI"/>
          </w:rPr>
          <w:t>NTD Safety and Security Reporting Manual</w:t>
        </w:r>
      </w:hyperlink>
      <w:r w:rsidRPr="00BD005E">
        <w:rPr>
          <w:rFonts w:cs="Segoe UI"/>
        </w:rPr>
        <w:t>.</w:t>
      </w:r>
    </w:p>
    <w:p w:rsidR="00BD005E" w:rsidRPr="00BD005E" w:rsidRDefault="00BD005E" w:rsidP="00BD005E">
      <w:pPr>
        <w:rPr>
          <w:rFonts w:ascii="Garamond" w:hAnsi="Garamond"/>
        </w:rPr>
      </w:pPr>
    </w:p>
    <w:p w:rsidR="00BD005E" w:rsidRPr="00BD005E" w:rsidRDefault="00BD005E" w:rsidP="00BD005E">
      <w:pPr>
        <w:rPr>
          <w:rFonts w:ascii="Garamond" w:hAnsi="Garamond"/>
        </w:rPr>
      </w:pPr>
      <w:r w:rsidRPr="00BD005E">
        <w:rPr>
          <w:rFonts w:ascii="Garamond" w:hAnsi="Garamond"/>
        </w:rPr>
        <w:t>Many transit agencies have never had a fatality, and continued safe operation is exactly what is desired. However, injuries occur much more frequently, a</w:t>
      </w:r>
      <w:r w:rsidR="0018410B">
        <w:rPr>
          <w:rFonts w:ascii="Garamond" w:hAnsi="Garamond"/>
        </w:rPr>
        <w:t xml:space="preserve">nd are due to a wide variety of </w:t>
      </w:r>
      <w:r w:rsidRPr="00BD005E">
        <w:rPr>
          <w:rFonts w:ascii="Garamond" w:hAnsi="Garamond"/>
        </w:rPr>
        <w:t>circumstances. Analyzing the factors that relate to injuries is a significant step in developing actions to prevent them. Again, measuring the number of injuries by mode, over vehicle revenue miles provides an injury rate from which to assess future performance.</w:t>
      </w:r>
    </w:p>
    <w:p w:rsidR="00BD005E" w:rsidRPr="00BD005E" w:rsidRDefault="00BD005E" w:rsidP="00BD005E">
      <w:pPr>
        <w:rPr>
          <w:rFonts w:ascii="Garamond" w:hAnsi="Garamond"/>
        </w:rPr>
      </w:pPr>
    </w:p>
    <w:p w:rsidR="00BD005E" w:rsidRPr="00BD005E" w:rsidRDefault="00BD005E" w:rsidP="00BD005E">
      <w:pPr>
        <w:rPr>
          <w:rFonts w:cs="Segoe UI"/>
          <w:b/>
        </w:rPr>
      </w:pPr>
      <w:r w:rsidRPr="00BD005E">
        <w:rPr>
          <w:rFonts w:cs="Segoe UI"/>
          <w:b/>
        </w:rPr>
        <w:t>SAFETY EVENTS</w:t>
      </w:r>
    </w:p>
    <w:p w:rsidR="00BD005E" w:rsidRPr="00BD005E" w:rsidRDefault="00BD005E" w:rsidP="00BD005E">
      <w:pPr>
        <w:rPr>
          <w:rFonts w:cs="Segoe UI"/>
        </w:rPr>
      </w:pPr>
      <w:r w:rsidRPr="00BD005E">
        <w:rPr>
          <w:rFonts w:cs="Segoe UI"/>
        </w:rPr>
        <w:t>Total number of reportable events and rate per total vehicle revenue miles by mode</w:t>
      </w:r>
    </w:p>
    <w:p w:rsidR="00BD005E" w:rsidRPr="00BD005E" w:rsidRDefault="00BD005E" w:rsidP="00BD005E">
      <w:pPr>
        <w:rPr>
          <w:rFonts w:ascii="Garamond" w:hAnsi="Garamond"/>
        </w:rPr>
      </w:pPr>
    </w:p>
    <w:p w:rsidR="00BD005E" w:rsidRPr="00BD005E" w:rsidRDefault="00BD005E" w:rsidP="00BD005E">
      <w:pPr>
        <w:rPr>
          <w:rFonts w:ascii="Garamond" w:hAnsi="Garamond"/>
        </w:rPr>
      </w:pPr>
      <w:r w:rsidRPr="00BD005E">
        <w:rPr>
          <w:rFonts w:ascii="Garamond" w:hAnsi="Garamond"/>
        </w:rPr>
        <w:t xml:space="preserve">The safety events measure captures all reported safety events that occur during transit operations and the performance of regular supervisory or maintenance activities. A reduction in safety events will support efforts to reduce fatalities and injuries, as well as damages to transit assets. Measuring the number of safety events by mode over vehicle revenue miles provides a safety event rate from which future performance can be compared. </w:t>
      </w:r>
    </w:p>
    <w:p w:rsidR="00BD005E" w:rsidRPr="00BD005E" w:rsidRDefault="00BD005E" w:rsidP="00BD005E">
      <w:pPr>
        <w:rPr>
          <w:rFonts w:ascii="Garamond" w:hAnsi="Garamond"/>
        </w:rPr>
      </w:pPr>
    </w:p>
    <w:p w:rsidR="00BD005E" w:rsidRPr="00BD005E" w:rsidRDefault="00BD005E" w:rsidP="00BD005E">
      <w:pPr>
        <w:rPr>
          <w:rFonts w:cs="Segoe UI"/>
          <w:b/>
        </w:rPr>
      </w:pPr>
      <w:r w:rsidRPr="00BD005E">
        <w:rPr>
          <w:rFonts w:cs="Segoe UI"/>
          <w:b/>
        </w:rPr>
        <w:t>SYSTEM RELIABILITY</w:t>
      </w:r>
    </w:p>
    <w:p w:rsidR="00BD005E" w:rsidRPr="00BD005E" w:rsidRDefault="00BD005E" w:rsidP="00BD005E">
      <w:pPr>
        <w:rPr>
          <w:rFonts w:cs="Segoe UI"/>
        </w:rPr>
      </w:pPr>
      <w:r w:rsidRPr="00BD005E">
        <w:rPr>
          <w:rFonts w:cs="Segoe UI"/>
        </w:rPr>
        <w:t>Mean distance between major mechanical failures by mode</w:t>
      </w:r>
    </w:p>
    <w:p w:rsidR="00BD005E" w:rsidRPr="00BD005E" w:rsidRDefault="00BD005E" w:rsidP="00BD005E">
      <w:pPr>
        <w:rPr>
          <w:rFonts w:ascii="Garamond" w:hAnsi="Garamond"/>
        </w:rPr>
      </w:pPr>
    </w:p>
    <w:p w:rsidR="00F013EA" w:rsidRDefault="00BD005E" w:rsidP="00BD005E">
      <w:pPr>
        <w:rPr>
          <w:rFonts w:ascii="Garamond" w:hAnsi="Garamond"/>
        </w:rPr>
      </w:pPr>
      <w:r w:rsidRPr="00BD005E">
        <w:rPr>
          <w:rFonts w:ascii="Garamond" w:hAnsi="Garamond"/>
        </w:rPr>
        <w:t>The system reliability measure expresses the relationship between safety and asset condition. The rate of vehicle failures in service, defined as mean distance between major mechanical failures, is measured as revenue miles operated divided by the number</w:t>
      </w:r>
      <w:r w:rsidR="0018410B">
        <w:rPr>
          <w:rFonts w:ascii="Garamond" w:hAnsi="Garamond"/>
        </w:rPr>
        <w:t xml:space="preserve"> of major mechanical failures. </w:t>
      </w:r>
      <w:r w:rsidRPr="00BD005E">
        <w:rPr>
          <w:rFonts w:ascii="Garamond" w:hAnsi="Garamond"/>
        </w:rPr>
        <w:t>This is a measure of how well a fleet of transit vehicles is maintained and operated. FTA recognizes the diversity of the transit industry, and that agencies have varied equipment types, with varied rates of performance, so this measure allows agencies to develop safety performance targets that are specific to their own fleet type, age, operating characteristics, and mode of operation.</w:t>
      </w:r>
    </w:p>
    <w:p w:rsidR="001B1024" w:rsidRDefault="001B1024" w:rsidP="00BD005E">
      <w:pPr>
        <w:rPr>
          <w:rFonts w:ascii="Garamond" w:hAnsi="Garamond"/>
        </w:rPr>
      </w:pPr>
    </w:p>
    <w:p w:rsidR="001B1024" w:rsidRDefault="001B1024" w:rsidP="001B1024">
      <w:pPr>
        <w:spacing w:after="0"/>
        <w:rPr>
          <w:rFonts w:ascii="Garamond" w:hAnsi="Garamond"/>
        </w:rPr>
      </w:pPr>
      <w:r w:rsidRPr="001B1024">
        <w:rPr>
          <w:rFonts w:ascii="Garamond" w:hAnsi="Garamond"/>
        </w:rPr>
        <w:lastRenderedPageBreak/>
        <w:t>Defining safety performance measures includes the use of safety-related metrics. Many safety-related metrics may not be applicable, depending on the size and scale of the transit agency. However, there are several general safety related metrics that can be used to measure transit safety performance.</w:t>
      </w:r>
      <w:r w:rsidRPr="00D01466">
        <w:rPr>
          <w:rFonts w:ascii="Garamond" w:hAnsi="Garamond"/>
        </w:rPr>
        <w:t xml:space="preserve"> Metrics can be grouped into similar target areas. </w:t>
      </w:r>
    </w:p>
    <w:p w:rsidR="001B1024" w:rsidRDefault="001B1024" w:rsidP="001B1024">
      <w:pPr>
        <w:spacing w:after="0"/>
        <w:rPr>
          <w:rFonts w:ascii="Garamond" w:hAnsi="Garamond"/>
        </w:rPr>
      </w:pPr>
    </w:p>
    <w:p w:rsidR="001B1024" w:rsidRDefault="001B1024" w:rsidP="001B1024">
      <w:pPr>
        <w:spacing w:after="0"/>
        <w:rPr>
          <w:rFonts w:ascii="Garamond" w:hAnsi="Garamond"/>
        </w:rPr>
      </w:pPr>
      <w:r w:rsidRPr="00D01466">
        <w:rPr>
          <w:rFonts w:ascii="Garamond" w:hAnsi="Garamond"/>
          <w:b/>
        </w:rPr>
        <w:t>Table 2</w:t>
      </w:r>
      <w:r w:rsidRPr="00D01466">
        <w:rPr>
          <w:rFonts w:ascii="Garamond" w:hAnsi="Garamond"/>
        </w:rPr>
        <w:t xml:space="preserve"> provides examples of some perfo</w:t>
      </w:r>
      <w:r>
        <w:rPr>
          <w:rFonts w:ascii="Garamond" w:hAnsi="Garamond"/>
        </w:rPr>
        <w:t>rmance target areas and metrics:</w:t>
      </w:r>
      <w:r w:rsidRPr="00D01466">
        <w:rPr>
          <w:rFonts w:ascii="Garamond" w:hAnsi="Garamond"/>
        </w:rPr>
        <w:t xml:space="preserve"> </w:t>
      </w:r>
    </w:p>
    <w:p w:rsidR="001B1024" w:rsidRPr="00D01466" w:rsidRDefault="001B1024" w:rsidP="001B1024">
      <w:pPr>
        <w:spacing w:after="0"/>
        <w:rPr>
          <w:rFonts w:ascii="Garamond" w:hAnsi="Garamond"/>
          <w:b/>
        </w:rPr>
      </w:pPr>
      <w:r w:rsidRPr="00D01466">
        <w:rPr>
          <w:rFonts w:ascii="Garamond" w:hAnsi="Garamond"/>
          <w:b/>
        </w:rPr>
        <w:t xml:space="preserve"> </w:t>
      </w:r>
    </w:p>
    <w:tbl>
      <w:tblPr>
        <w:tblStyle w:val="TableGrid"/>
        <w:tblW w:w="10188" w:type="dxa"/>
        <w:tblLook w:val="04A0" w:firstRow="1" w:lastRow="0" w:firstColumn="1" w:lastColumn="0" w:noHBand="0" w:noVBand="1"/>
      </w:tblPr>
      <w:tblGrid>
        <w:gridCol w:w="2628"/>
        <w:gridCol w:w="7560"/>
      </w:tblGrid>
      <w:tr w:rsidR="001B1024" w:rsidTr="00530D33">
        <w:trPr>
          <w:trHeight w:val="311"/>
        </w:trPr>
        <w:tc>
          <w:tcPr>
            <w:tcW w:w="2628" w:type="dxa"/>
            <w:tcBorders>
              <w:top w:val="nil"/>
              <w:left w:val="nil"/>
              <w:bottom w:val="single" w:sz="4" w:space="0" w:color="auto"/>
              <w:right w:val="nil"/>
            </w:tcBorders>
          </w:tcPr>
          <w:p w:rsidR="001B1024" w:rsidRPr="00D01466" w:rsidRDefault="001B1024" w:rsidP="00530D33">
            <w:pPr>
              <w:rPr>
                <w:rFonts w:cs="Segoe UI"/>
                <w:b/>
                <w:sz w:val="16"/>
                <w:szCs w:val="16"/>
              </w:rPr>
            </w:pPr>
            <w:r w:rsidRPr="00D01466">
              <w:rPr>
                <w:rFonts w:cs="Segoe UI"/>
                <w:b/>
                <w:sz w:val="16"/>
                <w:szCs w:val="16"/>
              </w:rPr>
              <w:t>PERFORMANCE TARGET AREAS</w:t>
            </w:r>
          </w:p>
        </w:tc>
        <w:tc>
          <w:tcPr>
            <w:tcW w:w="7560" w:type="dxa"/>
            <w:tcBorders>
              <w:top w:val="nil"/>
              <w:left w:val="nil"/>
              <w:bottom w:val="single" w:sz="4" w:space="0" w:color="auto"/>
              <w:right w:val="nil"/>
            </w:tcBorders>
          </w:tcPr>
          <w:p w:rsidR="001B1024" w:rsidRPr="00D01466" w:rsidRDefault="001B1024" w:rsidP="00530D33">
            <w:pPr>
              <w:rPr>
                <w:rFonts w:cs="Segoe UI"/>
                <w:b/>
                <w:sz w:val="16"/>
                <w:szCs w:val="16"/>
              </w:rPr>
            </w:pPr>
            <w:r w:rsidRPr="00D01466">
              <w:rPr>
                <w:rFonts w:cs="Segoe UI"/>
                <w:b/>
                <w:sz w:val="16"/>
                <w:szCs w:val="16"/>
              </w:rPr>
              <w:t>MEASURES</w:t>
            </w:r>
          </w:p>
        </w:tc>
      </w:tr>
      <w:tr w:rsidR="001B1024" w:rsidTr="00530D33">
        <w:trPr>
          <w:trHeight w:val="269"/>
        </w:trPr>
        <w:tc>
          <w:tcPr>
            <w:tcW w:w="2628" w:type="dxa"/>
            <w:tcBorders>
              <w:top w:val="single" w:sz="4" w:space="0" w:color="auto"/>
              <w:left w:val="nil"/>
              <w:bottom w:val="nil"/>
              <w:right w:val="single" w:sz="4" w:space="0" w:color="auto"/>
            </w:tcBorders>
            <w:vAlign w:val="center"/>
          </w:tcPr>
          <w:p w:rsidR="001B1024" w:rsidRPr="00D01466" w:rsidRDefault="001B1024" w:rsidP="00530D33">
            <w:pPr>
              <w:rPr>
                <w:rFonts w:cs="Segoe UI"/>
                <w:b/>
                <w:i/>
                <w:sz w:val="16"/>
                <w:szCs w:val="16"/>
              </w:rPr>
            </w:pPr>
            <w:r w:rsidRPr="00D01466">
              <w:rPr>
                <w:rFonts w:cs="Segoe UI"/>
                <w:b/>
                <w:i/>
                <w:sz w:val="16"/>
                <w:szCs w:val="16"/>
              </w:rPr>
              <w:t>Casualties/Incidents:</w:t>
            </w:r>
          </w:p>
        </w:tc>
        <w:tc>
          <w:tcPr>
            <w:tcW w:w="7560" w:type="dxa"/>
            <w:tcBorders>
              <w:top w:val="single" w:sz="4" w:space="0" w:color="auto"/>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Number of fatalities and fatality crashes per specified time period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Number of injuries and injury crashes per specified time period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Fatal accidents per million passenger-miles/vehicle-miles traveled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Injury accidents per million passenger-miles/vehicle-miles traveled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Employee work days lost to injuries per specified time period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Work-related fatalities per specified time period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Workers compensation payments per specified time period</w:t>
            </w:r>
          </w:p>
        </w:tc>
      </w:tr>
      <w:tr w:rsidR="001B1024" w:rsidTr="00530D33">
        <w:trPr>
          <w:trHeight w:val="248"/>
        </w:trPr>
        <w:tc>
          <w:tcPr>
            <w:tcW w:w="2628" w:type="dxa"/>
            <w:tcBorders>
              <w:top w:val="nil"/>
              <w:left w:val="nil"/>
              <w:bottom w:val="nil"/>
              <w:right w:val="single" w:sz="4" w:space="0" w:color="auto"/>
            </w:tcBorders>
            <w:shd w:val="clear" w:color="auto" w:fill="A6A6A6" w:themeFill="background1" w:themeFillShade="A6"/>
            <w:vAlign w:val="center"/>
          </w:tcPr>
          <w:p w:rsidR="001B1024" w:rsidRPr="00D01466" w:rsidRDefault="001B1024" w:rsidP="00530D33">
            <w:pPr>
              <w:rPr>
                <w:rFonts w:cs="Segoe UI"/>
                <w:sz w:val="16"/>
                <w:szCs w:val="16"/>
              </w:rPr>
            </w:pPr>
          </w:p>
        </w:tc>
        <w:tc>
          <w:tcPr>
            <w:tcW w:w="7560" w:type="dxa"/>
            <w:tcBorders>
              <w:top w:val="nil"/>
              <w:left w:val="single" w:sz="4" w:space="0" w:color="auto"/>
              <w:bottom w:val="nil"/>
              <w:right w:val="nil"/>
            </w:tcBorders>
            <w:shd w:val="clear" w:color="auto" w:fill="A6A6A6" w:themeFill="background1" w:themeFillShade="A6"/>
            <w:vAlign w:val="center"/>
          </w:tcPr>
          <w:p w:rsidR="001B1024" w:rsidRPr="00D01466" w:rsidRDefault="001B1024" w:rsidP="00530D33">
            <w:pPr>
              <w:pStyle w:val="ListParagraph"/>
              <w:rPr>
                <w:rFonts w:ascii="Segoe UI" w:hAnsi="Segoe UI" w:cs="Segoe UI"/>
                <w:sz w:val="16"/>
                <w:szCs w:val="16"/>
              </w:rPr>
            </w:pP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r w:rsidRPr="00D01466">
              <w:rPr>
                <w:rFonts w:cs="Segoe UI"/>
                <w:b/>
                <w:i/>
                <w:sz w:val="16"/>
                <w:szCs w:val="16"/>
              </w:rPr>
              <w:t>Operations:</w:t>
            </w: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Employee work days lost to injuries per specified time period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Work-related fatalities per specified time period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Percent of positive drug/alcohol tests per specified time period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Number of traffic tickets issued to bus operators per specified time period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Percent of buses exceeding the speed limit per specified time period</w:t>
            </w:r>
          </w:p>
        </w:tc>
      </w:tr>
      <w:tr w:rsidR="001B1024" w:rsidTr="00530D33">
        <w:trPr>
          <w:trHeight w:val="269"/>
        </w:trPr>
        <w:tc>
          <w:tcPr>
            <w:tcW w:w="2628" w:type="dxa"/>
            <w:tcBorders>
              <w:top w:val="nil"/>
              <w:left w:val="nil"/>
              <w:bottom w:val="nil"/>
              <w:right w:val="single" w:sz="4" w:space="0" w:color="auto"/>
            </w:tcBorders>
            <w:shd w:val="clear" w:color="auto" w:fill="A6A6A6" w:themeFill="background1" w:themeFillShade="A6"/>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shd w:val="clear" w:color="auto" w:fill="A6A6A6" w:themeFill="background1" w:themeFillShade="A6"/>
            <w:vAlign w:val="center"/>
          </w:tcPr>
          <w:p w:rsidR="001B1024" w:rsidRPr="00D01466" w:rsidRDefault="001B1024" w:rsidP="00530D33">
            <w:pPr>
              <w:pStyle w:val="ListParagraph"/>
              <w:rPr>
                <w:rFonts w:ascii="Segoe UI" w:hAnsi="Segoe UI" w:cs="Segoe UI"/>
                <w:sz w:val="16"/>
                <w:szCs w:val="16"/>
              </w:rPr>
            </w:pP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r w:rsidRPr="00D01466">
              <w:rPr>
                <w:rFonts w:cs="Segoe UI"/>
                <w:b/>
                <w:i/>
                <w:sz w:val="16"/>
                <w:szCs w:val="16"/>
              </w:rPr>
              <w:t>Systems and Equipment:</w:t>
            </w: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Number of vehicle defects reported by operators per specified time period</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Number of infrastructure defects reported by operators per specified period of time</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Number of vehicle defects reported during maintenance inspections</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Percent of preventative maintenance inspections completed within 10% of scheduled mileage</w:t>
            </w:r>
          </w:p>
        </w:tc>
      </w:tr>
      <w:tr w:rsidR="001B1024" w:rsidTr="00530D33">
        <w:trPr>
          <w:trHeight w:val="248"/>
        </w:trPr>
        <w:tc>
          <w:tcPr>
            <w:tcW w:w="2628" w:type="dxa"/>
            <w:tcBorders>
              <w:top w:val="nil"/>
              <w:left w:val="nil"/>
              <w:bottom w:val="nil"/>
              <w:right w:val="single" w:sz="4" w:space="0" w:color="auto"/>
            </w:tcBorders>
            <w:shd w:val="clear" w:color="auto" w:fill="A6A6A6" w:themeFill="background1" w:themeFillShade="A6"/>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shd w:val="clear" w:color="auto" w:fill="A6A6A6" w:themeFill="background1" w:themeFillShade="A6"/>
            <w:vAlign w:val="center"/>
          </w:tcPr>
          <w:p w:rsidR="001B1024" w:rsidRPr="00D01466" w:rsidRDefault="001B1024" w:rsidP="00530D33">
            <w:pPr>
              <w:pStyle w:val="ListParagraph"/>
              <w:rPr>
                <w:rFonts w:ascii="Segoe UI" w:hAnsi="Segoe UI" w:cs="Segoe UI"/>
                <w:sz w:val="16"/>
                <w:szCs w:val="16"/>
              </w:rPr>
            </w:pP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r w:rsidRPr="00D01466">
              <w:rPr>
                <w:rFonts w:cs="Segoe UI"/>
                <w:b/>
                <w:i/>
                <w:sz w:val="16"/>
                <w:szCs w:val="16"/>
              </w:rPr>
              <w:t>Safety Culture:</w:t>
            </w: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Number of training hours for all staff per specified period of time</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Results of employee surveys</w:t>
            </w:r>
          </w:p>
        </w:tc>
      </w:tr>
      <w:tr w:rsidR="001B1024" w:rsidTr="00530D33">
        <w:trPr>
          <w:trHeight w:val="269"/>
        </w:trPr>
        <w:tc>
          <w:tcPr>
            <w:tcW w:w="2628" w:type="dxa"/>
            <w:tcBorders>
              <w:top w:val="nil"/>
              <w:left w:val="nil"/>
              <w:bottom w:val="nil"/>
              <w:right w:val="single" w:sz="4" w:space="0" w:color="auto"/>
            </w:tcBorders>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nil"/>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Number of safety audits, assessments or inspections completed per specified period of time</w:t>
            </w:r>
          </w:p>
        </w:tc>
      </w:tr>
      <w:tr w:rsidR="001B1024" w:rsidTr="00530D33">
        <w:trPr>
          <w:trHeight w:val="269"/>
        </w:trPr>
        <w:tc>
          <w:tcPr>
            <w:tcW w:w="2628" w:type="dxa"/>
            <w:tcBorders>
              <w:top w:val="nil"/>
              <w:left w:val="nil"/>
              <w:bottom w:val="single" w:sz="12" w:space="0" w:color="auto"/>
              <w:right w:val="single" w:sz="4" w:space="0" w:color="auto"/>
            </w:tcBorders>
            <w:vAlign w:val="center"/>
          </w:tcPr>
          <w:p w:rsidR="001B1024" w:rsidRPr="00D01466" w:rsidRDefault="001B1024" w:rsidP="00530D33">
            <w:pPr>
              <w:rPr>
                <w:rFonts w:cs="Segoe UI"/>
                <w:b/>
                <w:i/>
                <w:sz w:val="16"/>
                <w:szCs w:val="16"/>
              </w:rPr>
            </w:pPr>
          </w:p>
        </w:tc>
        <w:tc>
          <w:tcPr>
            <w:tcW w:w="7560" w:type="dxa"/>
            <w:tcBorders>
              <w:top w:val="nil"/>
              <w:left w:val="single" w:sz="4" w:space="0" w:color="auto"/>
              <w:bottom w:val="single" w:sz="12" w:space="0" w:color="auto"/>
              <w:right w:val="nil"/>
            </w:tcBorders>
            <w:vAlign w:val="center"/>
          </w:tcPr>
          <w:p w:rsidR="001B1024" w:rsidRPr="00D01466" w:rsidRDefault="001B1024" w:rsidP="00530D33">
            <w:pPr>
              <w:pStyle w:val="ListParagraph"/>
              <w:numPr>
                <w:ilvl w:val="0"/>
                <w:numId w:val="1"/>
              </w:numPr>
              <w:spacing w:after="0" w:line="240" w:lineRule="auto"/>
              <w:rPr>
                <w:rFonts w:ascii="Segoe UI" w:hAnsi="Segoe UI" w:cs="Segoe UI"/>
                <w:sz w:val="16"/>
                <w:szCs w:val="16"/>
              </w:rPr>
            </w:pPr>
            <w:r w:rsidRPr="00D01466">
              <w:rPr>
                <w:rFonts w:ascii="Segoe UI" w:hAnsi="Segoe UI" w:cs="Segoe UI"/>
                <w:sz w:val="16"/>
                <w:szCs w:val="16"/>
              </w:rPr>
              <w:t>Number of staff participating in hazard reporting systems</w:t>
            </w:r>
          </w:p>
        </w:tc>
      </w:tr>
      <w:tr w:rsidR="001B1024" w:rsidTr="00530D33">
        <w:trPr>
          <w:trHeight w:val="290"/>
        </w:trPr>
        <w:tc>
          <w:tcPr>
            <w:tcW w:w="10188" w:type="dxa"/>
            <w:gridSpan w:val="2"/>
            <w:tcBorders>
              <w:top w:val="single" w:sz="12" w:space="0" w:color="auto"/>
              <w:left w:val="nil"/>
              <w:bottom w:val="nil"/>
              <w:right w:val="nil"/>
            </w:tcBorders>
            <w:vAlign w:val="center"/>
          </w:tcPr>
          <w:p w:rsidR="001B1024" w:rsidRPr="008F3CF8" w:rsidRDefault="001B1024" w:rsidP="00530D33">
            <w:pPr>
              <w:rPr>
                <w:rFonts w:cs="Segoe UI"/>
                <w:b/>
                <w:sz w:val="10"/>
                <w:szCs w:val="10"/>
              </w:rPr>
            </w:pPr>
          </w:p>
          <w:p w:rsidR="001B1024" w:rsidRPr="008F3CF8" w:rsidRDefault="001B1024" w:rsidP="00530D33">
            <w:pPr>
              <w:rPr>
                <w:rFonts w:cs="Segoe UI"/>
                <w:b/>
                <w:i/>
                <w:sz w:val="20"/>
                <w:szCs w:val="20"/>
              </w:rPr>
            </w:pPr>
            <w:r w:rsidRPr="008F3CF8">
              <w:rPr>
                <w:rFonts w:cs="Segoe UI"/>
                <w:b/>
                <w:i/>
                <w:sz w:val="20"/>
                <w:szCs w:val="20"/>
              </w:rPr>
              <w:t>Table 2: Examples of Performance Area Targets and Safety Measures/Metrics</w:t>
            </w:r>
          </w:p>
        </w:tc>
      </w:tr>
    </w:tbl>
    <w:p w:rsidR="001B1024" w:rsidRPr="00BD005E" w:rsidRDefault="001B1024" w:rsidP="00BD005E">
      <w:pPr>
        <w:rPr>
          <w:rFonts w:ascii="Garamond" w:hAnsi="Garamond"/>
        </w:rPr>
      </w:pPr>
    </w:p>
    <w:sectPr w:rsidR="001B1024" w:rsidRPr="00BD00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8B2" w:rsidRDefault="006478B2" w:rsidP="0018410B">
      <w:pPr>
        <w:spacing w:after="0"/>
      </w:pPr>
      <w:r>
        <w:separator/>
      </w:r>
    </w:p>
  </w:endnote>
  <w:endnote w:type="continuationSeparator" w:id="0">
    <w:p w:rsidR="006478B2" w:rsidRDefault="006478B2" w:rsidP="00184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8B2" w:rsidRDefault="006478B2" w:rsidP="0018410B">
      <w:pPr>
        <w:spacing w:after="0"/>
      </w:pPr>
      <w:r>
        <w:separator/>
      </w:r>
    </w:p>
  </w:footnote>
  <w:footnote w:type="continuationSeparator" w:id="0">
    <w:p w:rsidR="006478B2" w:rsidRDefault="006478B2" w:rsidP="001841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74A8C"/>
    <w:multiLevelType w:val="hybridMultilevel"/>
    <w:tmpl w:val="124060D0"/>
    <w:lvl w:ilvl="0" w:tplc="699AA19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5E"/>
    <w:rsid w:val="00004386"/>
    <w:rsid w:val="00004A7D"/>
    <w:rsid w:val="00006079"/>
    <w:rsid w:val="00011A2D"/>
    <w:rsid w:val="000162D2"/>
    <w:rsid w:val="00027619"/>
    <w:rsid w:val="00031604"/>
    <w:rsid w:val="000324BD"/>
    <w:rsid w:val="00057414"/>
    <w:rsid w:val="00057ECD"/>
    <w:rsid w:val="0006089E"/>
    <w:rsid w:val="00070804"/>
    <w:rsid w:val="00071805"/>
    <w:rsid w:val="00072B1D"/>
    <w:rsid w:val="000A0F73"/>
    <w:rsid w:val="000A494B"/>
    <w:rsid w:val="000A7A41"/>
    <w:rsid w:val="000B191B"/>
    <w:rsid w:val="000B1F4F"/>
    <w:rsid w:val="000B2703"/>
    <w:rsid w:val="000B77F5"/>
    <w:rsid w:val="000C019B"/>
    <w:rsid w:val="000D7459"/>
    <w:rsid w:val="00107D3C"/>
    <w:rsid w:val="001321A8"/>
    <w:rsid w:val="001364C6"/>
    <w:rsid w:val="00140BFE"/>
    <w:rsid w:val="001460C4"/>
    <w:rsid w:val="00151346"/>
    <w:rsid w:val="0015292F"/>
    <w:rsid w:val="00153BB6"/>
    <w:rsid w:val="001653DF"/>
    <w:rsid w:val="00170BD6"/>
    <w:rsid w:val="001732B1"/>
    <w:rsid w:val="00176FBC"/>
    <w:rsid w:val="001810C2"/>
    <w:rsid w:val="001835D4"/>
    <w:rsid w:val="00183DD8"/>
    <w:rsid w:val="0018410B"/>
    <w:rsid w:val="001979AD"/>
    <w:rsid w:val="001A1670"/>
    <w:rsid w:val="001B1024"/>
    <w:rsid w:val="001B5D9E"/>
    <w:rsid w:val="001D6B47"/>
    <w:rsid w:val="001E0FE5"/>
    <w:rsid w:val="00207688"/>
    <w:rsid w:val="002123B1"/>
    <w:rsid w:val="00217E9A"/>
    <w:rsid w:val="00220148"/>
    <w:rsid w:val="00220179"/>
    <w:rsid w:val="002219DB"/>
    <w:rsid w:val="002256AD"/>
    <w:rsid w:val="002262EA"/>
    <w:rsid w:val="00226A46"/>
    <w:rsid w:val="00227443"/>
    <w:rsid w:val="002330BB"/>
    <w:rsid w:val="002448F2"/>
    <w:rsid w:val="0024553B"/>
    <w:rsid w:val="00254F3F"/>
    <w:rsid w:val="00257F0E"/>
    <w:rsid w:val="0026381B"/>
    <w:rsid w:val="002713D4"/>
    <w:rsid w:val="0028089F"/>
    <w:rsid w:val="00280DCD"/>
    <w:rsid w:val="002831FA"/>
    <w:rsid w:val="0028365E"/>
    <w:rsid w:val="00287B6B"/>
    <w:rsid w:val="002A6DA8"/>
    <w:rsid w:val="002B0BFD"/>
    <w:rsid w:val="002B58B1"/>
    <w:rsid w:val="002B5ECF"/>
    <w:rsid w:val="002C32FB"/>
    <w:rsid w:val="002D3458"/>
    <w:rsid w:val="002D642F"/>
    <w:rsid w:val="0031263D"/>
    <w:rsid w:val="00323224"/>
    <w:rsid w:val="003232B0"/>
    <w:rsid w:val="003408F8"/>
    <w:rsid w:val="00352BE7"/>
    <w:rsid w:val="00360081"/>
    <w:rsid w:val="003626E8"/>
    <w:rsid w:val="00365BFD"/>
    <w:rsid w:val="00367ED9"/>
    <w:rsid w:val="00372878"/>
    <w:rsid w:val="0038010E"/>
    <w:rsid w:val="00380FEF"/>
    <w:rsid w:val="003B3806"/>
    <w:rsid w:val="003C1B72"/>
    <w:rsid w:val="003C33EB"/>
    <w:rsid w:val="003D481B"/>
    <w:rsid w:val="003E6E01"/>
    <w:rsid w:val="003F704D"/>
    <w:rsid w:val="004041CA"/>
    <w:rsid w:val="004214B1"/>
    <w:rsid w:val="004228F0"/>
    <w:rsid w:val="004329AD"/>
    <w:rsid w:val="004346FD"/>
    <w:rsid w:val="004374EB"/>
    <w:rsid w:val="00444B23"/>
    <w:rsid w:val="00445171"/>
    <w:rsid w:val="00450B6B"/>
    <w:rsid w:val="00450DFB"/>
    <w:rsid w:val="004624AE"/>
    <w:rsid w:val="00466096"/>
    <w:rsid w:val="0046659D"/>
    <w:rsid w:val="00467FC0"/>
    <w:rsid w:val="0047256B"/>
    <w:rsid w:val="00495F08"/>
    <w:rsid w:val="00496D87"/>
    <w:rsid w:val="004970DB"/>
    <w:rsid w:val="004B58E8"/>
    <w:rsid w:val="004C195A"/>
    <w:rsid w:val="004C3356"/>
    <w:rsid w:val="004E0402"/>
    <w:rsid w:val="004E259B"/>
    <w:rsid w:val="00505DF5"/>
    <w:rsid w:val="00512B6D"/>
    <w:rsid w:val="00520867"/>
    <w:rsid w:val="005272F2"/>
    <w:rsid w:val="0054203D"/>
    <w:rsid w:val="00546C9F"/>
    <w:rsid w:val="0055204B"/>
    <w:rsid w:val="00554ED3"/>
    <w:rsid w:val="00562BD9"/>
    <w:rsid w:val="005636F6"/>
    <w:rsid w:val="0057280C"/>
    <w:rsid w:val="00577F50"/>
    <w:rsid w:val="0059157D"/>
    <w:rsid w:val="005975D8"/>
    <w:rsid w:val="00597A5F"/>
    <w:rsid w:val="005A179A"/>
    <w:rsid w:val="005A2BDA"/>
    <w:rsid w:val="005A3D63"/>
    <w:rsid w:val="005B05AC"/>
    <w:rsid w:val="005B2282"/>
    <w:rsid w:val="005C015B"/>
    <w:rsid w:val="005E28FE"/>
    <w:rsid w:val="005E3CC2"/>
    <w:rsid w:val="005E6169"/>
    <w:rsid w:val="005F3DEE"/>
    <w:rsid w:val="00611420"/>
    <w:rsid w:val="00613417"/>
    <w:rsid w:val="006145CB"/>
    <w:rsid w:val="006250E9"/>
    <w:rsid w:val="006276F4"/>
    <w:rsid w:val="00637D32"/>
    <w:rsid w:val="006478B2"/>
    <w:rsid w:val="00667211"/>
    <w:rsid w:val="0066739C"/>
    <w:rsid w:val="00670FD9"/>
    <w:rsid w:val="00682C93"/>
    <w:rsid w:val="00691F59"/>
    <w:rsid w:val="006941A8"/>
    <w:rsid w:val="006A31C3"/>
    <w:rsid w:val="006B11F0"/>
    <w:rsid w:val="006C5332"/>
    <w:rsid w:val="006C5436"/>
    <w:rsid w:val="006C6096"/>
    <w:rsid w:val="006D007C"/>
    <w:rsid w:val="006D02F1"/>
    <w:rsid w:val="006D23DC"/>
    <w:rsid w:val="006D67D2"/>
    <w:rsid w:val="006D6967"/>
    <w:rsid w:val="006D7DE6"/>
    <w:rsid w:val="006E6F69"/>
    <w:rsid w:val="006E76CF"/>
    <w:rsid w:val="006F2A90"/>
    <w:rsid w:val="006F634A"/>
    <w:rsid w:val="006F6A7E"/>
    <w:rsid w:val="0070244E"/>
    <w:rsid w:val="00702B45"/>
    <w:rsid w:val="00717F7C"/>
    <w:rsid w:val="00727B2B"/>
    <w:rsid w:val="0073047B"/>
    <w:rsid w:val="007307DD"/>
    <w:rsid w:val="00751B7C"/>
    <w:rsid w:val="00752B65"/>
    <w:rsid w:val="0075669A"/>
    <w:rsid w:val="007611FC"/>
    <w:rsid w:val="00766B8E"/>
    <w:rsid w:val="0077058F"/>
    <w:rsid w:val="0077557F"/>
    <w:rsid w:val="00782872"/>
    <w:rsid w:val="0078572E"/>
    <w:rsid w:val="00794628"/>
    <w:rsid w:val="007A16F4"/>
    <w:rsid w:val="007B0292"/>
    <w:rsid w:val="007B1882"/>
    <w:rsid w:val="007B5FD0"/>
    <w:rsid w:val="007C1CCE"/>
    <w:rsid w:val="007C5222"/>
    <w:rsid w:val="007D1DD4"/>
    <w:rsid w:val="007E7297"/>
    <w:rsid w:val="007F1223"/>
    <w:rsid w:val="007F277C"/>
    <w:rsid w:val="007F4020"/>
    <w:rsid w:val="007F475D"/>
    <w:rsid w:val="007F4971"/>
    <w:rsid w:val="0080224C"/>
    <w:rsid w:val="0080744A"/>
    <w:rsid w:val="008101E8"/>
    <w:rsid w:val="00827B43"/>
    <w:rsid w:val="00847754"/>
    <w:rsid w:val="008564AA"/>
    <w:rsid w:val="0087321D"/>
    <w:rsid w:val="008760E5"/>
    <w:rsid w:val="008823B1"/>
    <w:rsid w:val="00892DCE"/>
    <w:rsid w:val="00893808"/>
    <w:rsid w:val="008B3663"/>
    <w:rsid w:val="008B483A"/>
    <w:rsid w:val="008B79DF"/>
    <w:rsid w:val="008B7ED1"/>
    <w:rsid w:val="008C3C8C"/>
    <w:rsid w:val="008D17A9"/>
    <w:rsid w:val="008E5442"/>
    <w:rsid w:val="008E58BE"/>
    <w:rsid w:val="008F6632"/>
    <w:rsid w:val="009103AC"/>
    <w:rsid w:val="009165A1"/>
    <w:rsid w:val="009165CB"/>
    <w:rsid w:val="0091788D"/>
    <w:rsid w:val="00922C76"/>
    <w:rsid w:val="00927020"/>
    <w:rsid w:val="009355DB"/>
    <w:rsid w:val="009420FF"/>
    <w:rsid w:val="00953F46"/>
    <w:rsid w:val="009637C2"/>
    <w:rsid w:val="00976799"/>
    <w:rsid w:val="00984E76"/>
    <w:rsid w:val="009967E4"/>
    <w:rsid w:val="009A7762"/>
    <w:rsid w:val="009D6B6A"/>
    <w:rsid w:val="009E0175"/>
    <w:rsid w:val="009E2182"/>
    <w:rsid w:val="009E49D3"/>
    <w:rsid w:val="00A00418"/>
    <w:rsid w:val="00A04AB1"/>
    <w:rsid w:val="00A05587"/>
    <w:rsid w:val="00A06BBF"/>
    <w:rsid w:val="00A1481D"/>
    <w:rsid w:val="00A15C70"/>
    <w:rsid w:val="00A1629C"/>
    <w:rsid w:val="00A24089"/>
    <w:rsid w:val="00A4009F"/>
    <w:rsid w:val="00A4549F"/>
    <w:rsid w:val="00A47BE4"/>
    <w:rsid w:val="00A47CC3"/>
    <w:rsid w:val="00A5241D"/>
    <w:rsid w:val="00A52688"/>
    <w:rsid w:val="00A572CF"/>
    <w:rsid w:val="00A57723"/>
    <w:rsid w:val="00A600D1"/>
    <w:rsid w:val="00A611F8"/>
    <w:rsid w:val="00A67C73"/>
    <w:rsid w:val="00A75E26"/>
    <w:rsid w:val="00A76BED"/>
    <w:rsid w:val="00A81B38"/>
    <w:rsid w:val="00A83ADC"/>
    <w:rsid w:val="00A900DD"/>
    <w:rsid w:val="00A936FD"/>
    <w:rsid w:val="00A95248"/>
    <w:rsid w:val="00AA05AB"/>
    <w:rsid w:val="00AA10CA"/>
    <w:rsid w:val="00AA170E"/>
    <w:rsid w:val="00AA368F"/>
    <w:rsid w:val="00AA534D"/>
    <w:rsid w:val="00AB2609"/>
    <w:rsid w:val="00AC6F25"/>
    <w:rsid w:val="00AE3478"/>
    <w:rsid w:val="00AF1607"/>
    <w:rsid w:val="00AF4F60"/>
    <w:rsid w:val="00B01F19"/>
    <w:rsid w:val="00B230CD"/>
    <w:rsid w:val="00B24F85"/>
    <w:rsid w:val="00B30464"/>
    <w:rsid w:val="00B42169"/>
    <w:rsid w:val="00B52B77"/>
    <w:rsid w:val="00B63846"/>
    <w:rsid w:val="00B641C3"/>
    <w:rsid w:val="00B70281"/>
    <w:rsid w:val="00B804ED"/>
    <w:rsid w:val="00B965F2"/>
    <w:rsid w:val="00B97995"/>
    <w:rsid w:val="00BA0B0B"/>
    <w:rsid w:val="00BB131A"/>
    <w:rsid w:val="00BB1E54"/>
    <w:rsid w:val="00BB6BE4"/>
    <w:rsid w:val="00BC1123"/>
    <w:rsid w:val="00BD005E"/>
    <w:rsid w:val="00BD550A"/>
    <w:rsid w:val="00BD5B5C"/>
    <w:rsid w:val="00BF26F9"/>
    <w:rsid w:val="00BF35BE"/>
    <w:rsid w:val="00BF4A11"/>
    <w:rsid w:val="00BF6589"/>
    <w:rsid w:val="00BF68F0"/>
    <w:rsid w:val="00BF7E4A"/>
    <w:rsid w:val="00C00930"/>
    <w:rsid w:val="00C02A45"/>
    <w:rsid w:val="00C07624"/>
    <w:rsid w:val="00C15139"/>
    <w:rsid w:val="00C2429E"/>
    <w:rsid w:val="00C263D9"/>
    <w:rsid w:val="00C26C00"/>
    <w:rsid w:val="00C357DE"/>
    <w:rsid w:val="00C370A1"/>
    <w:rsid w:val="00C37615"/>
    <w:rsid w:val="00C44AFE"/>
    <w:rsid w:val="00C5190C"/>
    <w:rsid w:val="00C66F3C"/>
    <w:rsid w:val="00C80E23"/>
    <w:rsid w:val="00C90D3C"/>
    <w:rsid w:val="00C95EAA"/>
    <w:rsid w:val="00CA07BD"/>
    <w:rsid w:val="00CA11D2"/>
    <w:rsid w:val="00CA78A1"/>
    <w:rsid w:val="00CD05B7"/>
    <w:rsid w:val="00CD1BC8"/>
    <w:rsid w:val="00CD4670"/>
    <w:rsid w:val="00CE39A4"/>
    <w:rsid w:val="00CF3363"/>
    <w:rsid w:val="00D05977"/>
    <w:rsid w:val="00D14967"/>
    <w:rsid w:val="00D16EBB"/>
    <w:rsid w:val="00D207F8"/>
    <w:rsid w:val="00D23E20"/>
    <w:rsid w:val="00D4044B"/>
    <w:rsid w:val="00D41980"/>
    <w:rsid w:val="00D434DA"/>
    <w:rsid w:val="00D5791B"/>
    <w:rsid w:val="00DA09EA"/>
    <w:rsid w:val="00DA20BA"/>
    <w:rsid w:val="00DA6F5C"/>
    <w:rsid w:val="00DB6B13"/>
    <w:rsid w:val="00DB6BAD"/>
    <w:rsid w:val="00DC11BC"/>
    <w:rsid w:val="00DC4C14"/>
    <w:rsid w:val="00DC5493"/>
    <w:rsid w:val="00DD0605"/>
    <w:rsid w:val="00DF2AA9"/>
    <w:rsid w:val="00E025E0"/>
    <w:rsid w:val="00E07CEE"/>
    <w:rsid w:val="00E1013F"/>
    <w:rsid w:val="00E1270A"/>
    <w:rsid w:val="00E14862"/>
    <w:rsid w:val="00E1513D"/>
    <w:rsid w:val="00E23A87"/>
    <w:rsid w:val="00E2436C"/>
    <w:rsid w:val="00E34254"/>
    <w:rsid w:val="00E408BC"/>
    <w:rsid w:val="00E41C53"/>
    <w:rsid w:val="00E45310"/>
    <w:rsid w:val="00E45B59"/>
    <w:rsid w:val="00E517D0"/>
    <w:rsid w:val="00E5606C"/>
    <w:rsid w:val="00E61B41"/>
    <w:rsid w:val="00E7014A"/>
    <w:rsid w:val="00E83EFD"/>
    <w:rsid w:val="00E83FAE"/>
    <w:rsid w:val="00E864A5"/>
    <w:rsid w:val="00E87D1F"/>
    <w:rsid w:val="00E90CEB"/>
    <w:rsid w:val="00EA05AC"/>
    <w:rsid w:val="00EA0796"/>
    <w:rsid w:val="00EB3CDF"/>
    <w:rsid w:val="00EB42FE"/>
    <w:rsid w:val="00EC03E3"/>
    <w:rsid w:val="00EC2718"/>
    <w:rsid w:val="00ED44EC"/>
    <w:rsid w:val="00ED5100"/>
    <w:rsid w:val="00ED7833"/>
    <w:rsid w:val="00EE1384"/>
    <w:rsid w:val="00EE2086"/>
    <w:rsid w:val="00EF530A"/>
    <w:rsid w:val="00EF7B2B"/>
    <w:rsid w:val="00F013EA"/>
    <w:rsid w:val="00F01772"/>
    <w:rsid w:val="00F01D32"/>
    <w:rsid w:val="00F07E59"/>
    <w:rsid w:val="00F15EE6"/>
    <w:rsid w:val="00F364EC"/>
    <w:rsid w:val="00F46D87"/>
    <w:rsid w:val="00F536C3"/>
    <w:rsid w:val="00F61C89"/>
    <w:rsid w:val="00F62E42"/>
    <w:rsid w:val="00F70D63"/>
    <w:rsid w:val="00F729E6"/>
    <w:rsid w:val="00F80A66"/>
    <w:rsid w:val="00F97F66"/>
    <w:rsid w:val="00FA1F06"/>
    <w:rsid w:val="00FB0CF1"/>
    <w:rsid w:val="00FB544F"/>
    <w:rsid w:val="00FC589B"/>
    <w:rsid w:val="00FC7627"/>
    <w:rsid w:val="00FD02D2"/>
    <w:rsid w:val="00FD1497"/>
    <w:rsid w:val="00FD6A0E"/>
    <w:rsid w:val="00FE59A3"/>
    <w:rsid w:val="00FE7844"/>
    <w:rsid w:val="00FF047B"/>
    <w:rsid w:val="00FF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DA568-E458-4842-8B5F-B6467328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5D4"/>
    <w:pPr>
      <w:spacing w:line="240" w:lineRule="auto"/>
      <w:contextualSpacing/>
    </w:pPr>
    <w:rPr>
      <w:rFonts w:ascii="Segoe UI" w:hAnsi="Segoe UI"/>
      <w:sz w:val="24"/>
      <w:szCs w:val="24"/>
    </w:rPr>
  </w:style>
  <w:style w:type="paragraph" w:styleId="Heading1">
    <w:name w:val="heading 1"/>
    <w:basedOn w:val="Normal"/>
    <w:next w:val="Normal"/>
    <w:link w:val="Heading1Char"/>
    <w:uiPriority w:val="9"/>
    <w:qFormat/>
    <w:rsid w:val="001835D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1835D4"/>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6C5332"/>
    <w:pPr>
      <w:keepNext/>
      <w:keepLines/>
      <w:spacing w:before="40" w:after="0"/>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1835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35D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835D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835D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35D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35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5D4"/>
    <w:pPr>
      <w:spacing w:after="0" w:line="240" w:lineRule="auto"/>
      <w:contextualSpacing/>
    </w:pPr>
    <w:rPr>
      <w:rFonts w:ascii="Garamond" w:hAnsi="Garamond"/>
      <w:sz w:val="24"/>
      <w:szCs w:val="24"/>
    </w:rPr>
  </w:style>
  <w:style w:type="character" w:customStyle="1" w:styleId="Heading1Char">
    <w:name w:val="Heading 1 Char"/>
    <w:basedOn w:val="DefaultParagraphFont"/>
    <w:link w:val="Heading1"/>
    <w:uiPriority w:val="9"/>
    <w:rsid w:val="001835D4"/>
    <w:rPr>
      <w:rFonts w:ascii="Segoe UI" w:eastAsiaTheme="majorEastAsia" w:hAnsi="Segoe UI" w:cstheme="majorBidi"/>
      <w:b/>
      <w:sz w:val="36"/>
      <w:szCs w:val="32"/>
    </w:rPr>
  </w:style>
  <w:style w:type="character" w:customStyle="1" w:styleId="Heading2Char">
    <w:name w:val="Heading 2 Char"/>
    <w:basedOn w:val="DefaultParagraphFont"/>
    <w:link w:val="Heading2"/>
    <w:uiPriority w:val="9"/>
    <w:semiHidden/>
    <w:rsid w:val="001835D4"/>
    <w:rPr>
      <w:rFonts w:ascii="Segoe UI" w:eastAsiaTheme="majorEastAsia" w:hAnsi="Segoe UI" w:cstheme="majorBidi"/>
      <w:sz w:val="32"/>
      <w:szCs w:val="26"/>
    </w:rPr>
  </w:style>
  <w:style w:type="paragraph" w:styleId="Title">
    <w:name w:val="Title"/>
    <w:basedOn w:val="Normal"/>
    <w:next w:val="Normal"/>
    <w:link w:val="TitleChar"/>
    <w:uiPriority w:val="10"/>
    <w:qFormat/>
    <w:rsid w:val="001835D4"/>
    <w:pPr>
      <w:spacing w:after="0"/>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1835D4"/>
    <w:rPr>
      <w:rFonts w:ascii="Segoe UI" w:eastAsiaTheme="majorEastAsia" w:hAnsi="Segoe UI" w:cstheme="majorBidi"/>
      <w:b/>
      <w:spacing w:val="-10"/>
      <w:kern w:val="28"/>
      <w:sz w:val="56"/>
      <w:szCs w:val="56"/>
    </w:rPr>
  </w:style>
  <w:style w:type="paragraph" w:customStyle="1" w:styleId="SSO">
    <w:name w:val="SSO"/>
    <w:basedOn w:val="NoSpacing"/>
    <w:link w:val="SSOChar"/>
    <w:qFormat/>
    <w:rsid w:val="001835D4"/>
  </w:style>
  <w:style w:type="character" w:customStyle="1" w:styleId="SSOChar">
    <w:name w:val="SSO Char"/>
    <w:basedOn w:val="DefaultParagraphFont"/>
    <w:link w:val="SSO"/>
    <w:rsid w:val="001835D4"/>
    <w:rPr>
      <w:rFonts w:ascii="Garamond" w:hAnsi="Garamond"/>
      <w:sz w:val="24"/>
      <w:szCs w:val="24"/>
    </w:rPr>
  </w:style>
  <w:style w:type="character" w:customStyle="1" w:styleId="Heading3Char">
    <w:name w:val="Heading 3 Char"/>
    <w:basedOn w:val="DefaultParagraphFont"/>
    <w:link w:val="Heading3"/>
    <w:uiPriority w:val="9"/>
    <w:rsid w:val="006C5332"/>
    <w:rPr>
      <w:rFonts w:ascii="Segoe UI" w:eastAsiaTheme="majorEastAsia" w:hAnsi="Segoe UI" w:cstheme="majorBidi"/>
      <w:i/>
      <w:sz w:val="24"/>
      <w:szCs w:val="24"/>
    </w:rPr>
  </w:style>
  <w:style w:type="character" w:customStyle="1" w:styleId="Heading4Char">
    <w:name w:val="Heading 4 Char"/>
    <w:basedOn w:val="DefaultParagraphFont"/>
    <w:link w:val="Heading4"/>
    <w:uiPriority w:val="9"/>
    <w:semiHidden/>
    <w:rsid w:val="001835D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1835D4"/>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1835D4"/>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835D4"/>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835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35D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835D4"/>
    <w:pPr>
      <w:spacing w:after="200"/>
    </w:pPr>
    <w:rPr>
      <w:i/>
      <w:iCs/>
      <w:color w:val="44546A" w:themeColor="text2"/>
      <w:sz w:val="18"/>
      <w:szCs w:val="18"/>
    </w:rPr>
  </w:style>
  <w:style w:type="paragraph" w:styleId="Subtitle">
    <w:name w:val="Subtitle"/>
    <w:basedOn w:val="Normal"/>
    <w:next w:val="Normal"/>
    <w:link w:val="SubtitleChar"/>
    <w:uiPriority w:val="11"/>
    <w:qFormat/>
    <w:rsid w:val="001835D4"/>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1835D4"/>
    <w:rPr>
      <w:rFonts w:eastAsiaTheme="minorEastAsia"/>
      <w:color w:val="5A5A5A" w:themeColor="text1" w:themeTint="A5"/>
      <w:spacing w:val="15"/>
    </w:rPr>
  </w:style>
  <w:style w:type="character" w:styleId="Strong">
    <w:name w:val="Strong"/>
    <w:basedOn w:val="DefaultParagraphFont"/>
    <w:uiPriority w:val="22"/>
    <w:qFormat/>
    <w:rsid w:val="001835D4"/>
    <w:rPr>
      <w:b/>
      <w:bCs/>
    </w:rPr>
  </w:style>
  <w:style w:type="character" w:styleId="Emphasis">
    <w:name w:val="Emphasis"/>
    <w:basedOn w:val="DefaultParagraphFont"/>
    <w:uiPriority w:val="20"/>
    <w:qFormat/>
    <w:rsid w:val="001835D4"/>
    <w:rPr>
      <w:i/>
      <w:iCs/>
    </w:rPr>
  </w:style>
  <w:style w:type="paragraph" w:styleId="Quote">
    <w:name w:val="Quote"/>
    <w:basedOn w:val="Normal"/>
    <w:next w:val="Normal"/>
    <w:link w:val="QuoteChar"/>
    <w:uiPriority w:val="29"/>
    <w:qFormat/>
    <w:rsid w:val="001835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35D4"/>
    <w:rPr>
      <w:rFonts w:ascii="Segoe UI" w:hAnsi="Segoe UI"/>
      <w:i/>
      <w:iCs/>
      <w:color w:val="404040" w:themeColor="text1" w:themeTint="BF"/>
      <w:sz w:val="24"/>
      <w:szCs w:val="24"/>
    </w:rPr>
  </w:style>
  <w:style w:type="paragraph" w:styleId="IntenseQuote">
    <w:name w:val="Intense Quote"/>
    <w:basedOn w:val="Normal"/>
    <w:next w:val="Normal"/>
    <w:link w:val="IntenseQuoteChar"/>
    <w:uiPriority w:val="30"/>
    <w:qFormat/>
    <w:rsid w:val="001835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35D4"/>
    <w:rPr>
      <w:rFonts w:ascii="Segoe UI" w:hAnsi="Segoe UI"/>
      <w:i/>
      <w:iCs/>
      <w:color w:val="4472C4" w:themeColor="accent1"/>
      <w:sz w:val="24"/>
      <w:szCs w:val="24"/>
    </w:rPr>
  </w:style>
  <w:style w:type="character" w:styleId="SubtleEmphasis">
    <w:name w:val="Subtle Emphasis"/>
    <w:basedOn w:val="DefaultParagraphFont"/>
    <w:uiPriority w:val="19"/>
    <w:qFormat/>
    <w:rsid w:val="001835D4"/>
    <w:rPr>
      <w:i/>
      <w:iCs/>
      <w:color w:val="404040" w:themeColor="text1" w:themeTint="BF"/>
    </w:rPr>
  </w:style>
  <w:style w:type="character" w:styleId="IntenseEmphasis">
    <w:name w:val="Intense Emphasis"/>
    <w:basedOn w:val="DefaultParagraphFont"/>
    <w:uiPriority w:val="21"/>
    <w:qFormat/>
    <w:rsid w:val="001835D4"/>
    <w:rPr>
      <w:i/>
      <w:iCs/>
      <w:color w:val="4472C4" w:themeColor="accent1"/>
    </w:rPr>
  </w:style>
  <w:style w:type="character" w:styleId="SubtleReference">
    <w:name w:val="Subtle Reference"/>
    <w:basedOn w:val="DefaultParagraphFont"/>
    <w:uiPriority w:val="31"/>
    <w:qFormat/>
    <w:rsid w:val="001835D4"/>
    <w:rPr>
      <w:smallCaps/>
      <w:color w:val="5A5A5A" w:themeColor="text1" w:themeTint="A5"/>
    </w:rPr>
  </w:style>
  <w:style w:type="character" w:styleId="IntenseReference">
    <w:name w:val="Intense Reference"/>
    <w:basedOn w:val="DefaultParagraphFont"/>
    <w:uiPriority w:val="32"/>
    <w:qFormat/>
    <w:rsid w:val="001835D4"/>
    <w:rPr>
      <w:b/>
      <w:bCs/>
      <w:smallCaps/>
      <w:color w:val="4472C4" w:themeColor="accent1"/>
      <w:spacing w:val="5"/>
    </w:rPr>
  </w:style>
  <w:style w:type="character" w:styleId="BookTitle">
    <w:name w:val="Book Title"/>
    <w:basedOn w:val="DefaultParagraphFont"/>
    <w:uiPriority w:val="33"/>
    <w:qFormat/>
    <w:rsid w:val="001835D4"/>
    <w:rPr>
      <w:b/>
      <w:bCs/>
      <w:i/>
      <w:iCs/>
      <w:spacing w:val="5"/>
    </w:rPr>
  </w:style>
  <w:style w:type="paragraph" w:styleId="TOCHeading">
    <w:name w:val="TOC Heading"/>
    <w:basedOn w:val="Heading1"/>
    <w:next w:val="Normal"/>
    <w:uiPriority w:val="39"/>
    <w:semiHidden/>
    <w:unhideWhenUsed/>
    <w:qFormat/>
    <w:rsid w:val="001835D4"/>
    <w:pPr>
      <w:outlineLvl w:val="9"/>
    </w:pPr>
    <w:rPr>
      <w:rFonts w:asciiTheme="majorHAnsi" w:hAnsiTheme="majorHAnsi"/>
      <w:b w:val="0"/>
      <w:color w:val="2F5496" w:themeColor="accent1" w:themeShade="BF"/>
      <w:sz w:val="32"/>
    </w:rPr>
  </w:style>
  <w:style w:type="character" w:styleId="Hyperlink">
    <w:name w:val="Hyperlink"/>
    <w:basedOn w:val="DefaultParagraphFont"/>
    <w:uiPriority w:val="99"/>
    <w:unhideWhenUsed/>
    <w:rsid w:val="00BD005E"/>
    <w:rPr>
      <w:color w:val="0563C1" w:themeColor="hyperlink"/>
      <w:u w:val="single"/>
    </w:rPr>
  </w:style>
  <w:style w:type="character" w:styleId="UnresolvedMention">
    <w:name w:val="Unresolved Mention"/>
    <w:basedOn w:val="DefaultParagraphFont"/>
    <w:uiPriority w:val="99"/>
    <w:semiHidden/>
    <w:unhideWhenUsed/>
    <w:rsid w:val="00BD005E"/>
    <w:rPr>
      <w:color w:val="808080"/>
      <w:shd w:val="clear" w:color="auto" w:fill="E6E6E6"/>
    </w:rPr>
  </w:style>
  <w:style w:type="paragraph" w:styleId="Header">
    <w:name w:val="header"/>
    <w:basedOn w:val="Normal"/>
    <w:link w:val="HeaderChar"/>
    <w:uiPriority w:val="99"/>
    <w:unhideWhenUsed/>
    <w:rsid w:val="0018410B"/>
    <w:pPr>
      <w:tabs>
        <w:tab w:val="center" w:pos="4680"/>
        <w:tab w:val="right" w:pos="9360"/>
      </w:tabs>
      <w:spacing w:after="0"/>
    </w:pPr>
  </w:style>
  <w:style w:type="character" w:customStyle="1" w:styleId="HeaderChar">
    <w:name w:val="Header Char"/>
    <w:basedOn w:val="DefaultParagraphFont"/>
    <w:link w:val="Header"/>
    <w:uiPriority w:val="99"/>
    <w:rsid w:val="0018410B"/>
    <w:rPr>
      <w:rFonts w:ascii="Segoe UI" w:hAnsi="Segoe UI"/>
      <w:sz w:val="24"/>
      <w:szCs w:val="24"/>
    </w:rPr>
  </w:style>
  <w:style w:type="paragraph" w:styleId="Footer">
    <w:name w:val="footer"/>
    <w:basedOn w:val="Normal"/>
    <w:link w:val="FooterChar"/>
    <w:uiPriority w:val="99"/>
    <w:unhideWhenUsed/>
    <w:rsid w:val="0018410B"/>
    <w:pPr>
      <w:tabs>
        <w:tab w:val="center" w:pos="4680"/>
        <w:tab w:val="right" w:pos="9360"/>
      </w:tabs>
      <w:spacing w:after="0"/>
    </w:pPr>
  </w:style>
  <w:style w:type="character" w:customStyle="1" w:styleId="FooterChar">
    <w:name w:val="Footer Char"/>
    <w:basedOn w:val="DefaultParagraphFont"/>
    <w:link w:val="Footer"/>
    <w:uiPriority w:val="99"/>
    <w:rsid w:val="0018410B"/>
    <w:rPr>
      <w:rFonts w:ascii="Segoe UI" w:hAnsi="Segoe UI"/>
      <w:sz w:val="24"/>
      <w:szCs w:val="24"/>
    </w:rPr>
  </w:style>
  <w:style w:type="table" w:styleId="TableGrid">
    <w:name w:val="Table Grid"/>
    <w:basedOn w:val="TableNormal"/>
    <w:uiPriority w:val="59"/>
    <w:rsid w:val="001B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024"/>
    <w:pPr>
      <w:spacing w:after="200" w:line="276" w:lineRule="auto"/>
      <w:ind w:left="72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it.dot.gov/ntd/2019-ntd-safety-and-security-policy-manua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transit.dot.gov/regulations-and-guidance/safety/national-public-transportation-safety-pla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B4C69A-F5D5-42CF-BA3B-365232E38540}"/>
</file>

<file path=customXml/itemProps2.xml><?xml version="1.0" encoding="utf-8"?>
<ds:datastoreItem xmlns:ds="http://schemas.openxmlformats.org/officeDocument/2006/customXml" ds:itemID="{47F382EE-CB5C-44FE-9F7F-DD34A57E85B5}"/>
</file>

<file path=customXml/itemProps3.xml><?xml version="1.0" encoding="utf-8"?>
<ds:datastoreItem xmlns:ds="http://schemas.openxmlformats.org/officeDocument/2006/customXml" ds:itemID="{42296D80-25DB-4A17-A8BE-F6196EA97D55}"/>
</file>

<file path=docProps/app.xml><?xml version="1.0" encoding="utf-8"?>
<Properties xmlns="http://schemas.openxmlformats.org/officeDocument/2006/extended-properties" xmlns:vt="http://schemas.openxmlformats.org/officeDocument/2006/docPropsVTypes">
  <Template>Normal.dotm</Template>
  <TotalTime>11</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	Section 2 Guide – Safety Risk Management Checklist</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Guide – Safety Performance Measures</dc:title>
  <dc:subject/>
  <dc:creator>STOEGBAUER, ERIC</dc:creator>
  <cp:keywords/>
  <dc:description/>
  <cp:lastModifiedBy>Thyes, Dan - DOT</cp:lastModifiedBy>
  <cp:revision>4</cp:revision>
  <dcterms:created xsi:type="dcterms:W3CDTF">2019-11-05T19:32:00Z</dcterms:created>
  <dcterms:modified xsi:type="dcterms:W3CDTF">2020-01-28T14:39:00Z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