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C05C" w14:textId="77777777" w:rsidR="00D7555D" w:rsidRPr="00D7555D" w:rsidRDefault="00D7555D" w:rsidP="00D7555D">
      <w:pPr>
        <w:spacing w:after="0" w:line="240" w:lineRule="auto"/>
        <w:jc w:val="right"/>
        <w:rPr>
          <w:rFonts w:cstheme="minorHAnsi"/>
          <w:b/>
          <w:color w:val="000000" w:themeColor="text1"/>
          <w:sz w:val="36"/>
          <w:szCs w:val="36"/>
        </w:rPr>
      </w:pPr>
      <w:bookmarkStart w:id="0" w:name="_Hlk30597292"/>
      <w:r w:rsidRPr="00D7555D">
        <w:rPr>
          <w:rFonts w:cstheme="minorHAnsi"/>
          <w:b/>
          <w:color w:val="000000" w:themeColor="text1"/>
          <w:sz w:val="36"/>
          <w:szCs w:val="36"/>
        </w:rPr>
        <w:t>Appendix 11</w:t>
      </w:r>
    </w:p>
    <w:p w14:paraId="10B03CD3" w14:textId="77777777" w:rsidR="00D7555D" w:rsidRDefault="00D7555D" w:rsidP="004C20B6">
      <w:pPr>
        <w:spacing w:after="0" w:line="240" w:lineRule="auto"/>
        <w:jc w:val="center"/>
        <w:rPr>
          <w:rFonts w:cstheme="minorHAnsi"/>
          <w:bCs/>
          <w:i/>
          <w:iCs/>
          <w:color w:val="FF0000"/>
          <w:sz w:val="36"/>
          <w:szCs w:val="36"/>
        </w:rPr>
      </w:pPr>
    </w:p>
    <w:p w14:paraId="541A355B" w14:textId="77777777" w:rsidR="00D7555D" w:rsidRPr="00D7555D" w:rsidRDefault="00D7555D" w:rsidP="004C20B6">
      <w:pPr>
        <w:spacing w:after="0" w:line="240" w:lineRule="auto"/>
        <w:jc w:val="center"/>
        <w:rPr>
          <w:rFonts w:cstheme="minorHAnsi"/>
          <w:bCs/>
          <w:i/>
          <w:iCs/>
          <w:color w:val="FF0000"/>
          <w:sz w:val="36"/>
          <w:szCs w:val="36"/>
        </w:rPr>
      </w:pPr>
      <w:r w:rsidRPr="00D7555D">
        <w:rPr>
          <w:rFonts w:cstheme="minorHAnsi"/>
          <w:bCs/>
          <w:i/>
          <w:iCs/>
          <w:color w:val="FF0000"/>
          <w:sz w:val="36"/>
          <w:szCs w:val="36"/>
        </w:rPr>
        <w:t>Sample Template</w:t>
      </w:r>
    </w:p>
    <w:p w14:paraId="0C7DC193" w14:textId="77777777" w:rsidR="00D7555D" w:rsidRDefault="00D7555D" w:rsidP="004C20B6">
      <w:pPr>
        <w:spacing w:after="0" w:line="240" w:lineRule="auto"/>
        <w:jc w:val="center"/>
        <w:rPr>
          <w:rFonts w:cstheme="minorHAnsi"/>
          <w:b/>
          <w:color w:val="000000" w:themeColor="text1"/>
          <w:sz w:val="28"/>
          <w:szCs w:val="28"/>
        </w:rPr>
      </w:pPr>
    </w:p>
    <w:p w14:paraId="4F77CBE4" w14:textId="77777777" w:rsidR="004C20B6" w:rsidRPr="00FE091D" w:rsidRDefault="004C20B6" w:rsidP="004C20B6">
      <w:pPr>
        <w:spacing w:after="0" w:line="240" w:lineRule="auto"/>
        <w:jc w:val="center"/>
        <w:rPr>
          <w:rFonts w:cstheme="minorHAnsi"/>
          <w:b/>
          <w:color w:val="000000" w:themeColor="text1"/>
          <w:sz w:val="28"/>
          <w:szCs w:val="28"/>
        </w:rPr>
      </w:pPr>
      <w:r w:rsidRPr="00FE091D">
        <w:rPr>
          <w:rFonts w:cstheme="minorHAnsi"/>
          <w:b/>
          <w:color w:val="000000" w:themeColor="text1"/>
          <w:sz w:val="28"/>
          <w:szCs w:val="28"/>
        </w:rPr>
        <w:t>MPO Demographic Data</w:t>
      </w:r>
      <w:r w:rsidR="00D7555D">
        <w:rPr>
          <w:rFonts w:cstheme="minorHAnsi"/>
          <w:b/>
          <w:color w:val="000000" w:themeColor="text1"/>
          <w:sz w:val="28"/>
          <w:szCs w:val="28"/>
        </w:rPr>
        <w:t xml:space="preserve"> and </w:t>
      </w:r>
      <w:r w:rsidRPr="00FE091D">
        <w:rPr>
          <w:rFonts w:cstheme="minorHAnsi"/>
          <w:b/>
          <w:color w:val="000000" w:themeColor="text1"/>
          <w:sz w:val="28"/>
          <w:szCs w:val="28"/>
        </w:rPr>
        <w:t xml:space="preserve">Analysis </w:t>
      </w:r>
    </w:p>
    <w:p w14:paraId="41D5B91A" w14:textId="77777777" w:rsidR="004C20B6" w:rsidRPr="005863E4" w:rsidRDefault="004C20B6" w:rsidP="004C20B6">
      <w:pPr>
        <w:spacing w:after="0" w:line="240" w:lineRule="auto"/>
        <w:jc w:val="center"/>
        <w:rPr>
          <w:rFonts w:cstheme="minorHAnsi"/>
          <w:i/>
          <w:color w:val="002060"/>
        </w:rPr>
      </w:pPr>
    </w:p>
    <w:p w14:paraId="3F2AFB07" w14:textId="77777777" w:rsidR="004C20B6" w:rsidRPr="00FE091D" w:rsidRDefault="004C20B6" w:rsidP="004C20B6">
      <w:pPr>
        <w:spacing w:after="0" w:line="240" w:lineRule="auto"/>
        <w:jc w:val="center"/>
        <w:rPr>
          <w:rFonts w:cstheme="minorHAnsi"/>
          <w:i/>
          <w:color w:val="002060"/>
          <w:sz w:val="24"/>
          <w:szCs w:val="24"/>
        </w:rPr>
      </w:pPr>
      <w:r w:rsidRPr="00FE091D">
        <w:rPr>
          <w:rFonts w:cstheme="minorHAnsi"/>
          <w:i/>
          <w:color w:val="002060"/>
          <w:sz w:val="24"/>
          <w:szCs w:val="24"/>
        </w:rPr>
        <w:t>(For MPOS)</w:t>
      </w:r>
    </w:p>
    <w:p w14:paraId="6EED1A8D" w14:textId="77777777" w:rsidR="004C20B6" w:rsidRPr="005863E4" w:rsidRDefault="004C20B6" w:rsidP="004C20B6">
      <w:pPr>
        <w:spacing w:after="0" w:line="240" w:lineRule="auto"/>
        <w:rPr>
          <w:rFonts w:cstheme="minorHAnsi"/>
          <w:b/>
        </w:rPr>
      </w:pPr>
    </w:p>
    <w:p w14:paraId="1920795A" w14:textId="77777777" w:rsidR="00331F5B" w:rsidRPr="005863E4" w:rsidRDefault="00331F5B" w:rsidP="00331F5B">
      <w:pPr>
        <w:spacing w:after="0" w:line="240" w:lineRule="auto"/>
        <w:rPr>
          <w:rFonts w:cstheme="minorHAnsi"/>
        </w:rPr>
      </w:pPr>
      <w:r w:rsidRPr="005863E4">
        <w:rPr>
          <w:rFonts w:cstheme="minorHAnsi"/>
        </w:rPr>
        <w:t xml:space="preserve">In addition to </w:t>
      </w:r>
      <w:r w:rsidR="00FE091D">
        <w:rPr>
          <w:rFonts w:cstheme="minorHAnsi"/>
        </w:rPr>
        <w:t>A</w:t>
      </w:r>
      <w:r w:rsidRPr="005863E4">
        <w:rPr>
          <w:rFonts w:cstheme="minorHAnsi"/>
        </w:rPr>
        <w:t>ppendices 1-</w:t>
      </w:r>
      <w:r w:rsidR="00D7555D">
        <w:rPr>
          <w:rFonts w:cstheme="minorHAnsi"/>
        </w:rPr>
        <w:t>7</w:t>
      </w:r>
      <w:r w:rsidRPr="005863E4">
        <w:rPr>
          <w:rFonts w:cstheme="minorHAnsi"/>
        </w:rPr>
        <w:t xml:space="preserve"> (and </w:t>
      </w:r>
      <w:r w:rsidR="00FE091D">
        <w:rPr>
          <w:rFonts w:cstheme="minorHAnsi"/>
        </w:rPr>
        <w:t>A</w:t>
      </w:r>
      <w:r w:rsidRPr="005863E4">
        <w:rPr>
          <w:rFonts w:cstheme="minorHAnsi"/>
        </w:rPr>
        <w:t xml:space="preserve">ppendices </w:t>
      </w:r>
      <w:r w:rsidR="00D7555D">
        <w:rPr>
          <w:rFonts w:cstheme="minorHAnsi"/>
        </w:rPr>
        <w:t>8</w:t>
      </w:r>
      <w:r w:rsidRPr="005863E4">
        <w:rPr>
          <w:rFonts w:cstheme="minorHAnsi"/>
        </w:rPr>
        <w:t xml:space="preserve"> and </w:t>
      </w:r>
      <w:r w:rsidR="00D7555D">
        <w:rPr>
          <w:rFonts w:cstheme="minorHAnsi"/>
        </w:rPr>
        <w:t>9</w:t>
      </w:r>
      <w:r w:rsidRPr="005863E4">
        <w:rPr>
          <w:rFonts w:cstheme="minorHAnsi"/>
        </w:rPr>
        <w:t xml:space="preserve">, if the MPO is a provider of fixed route public transportation), the MPO is also required to include the elements listed below:  </w:t>
      </w:r>
    </w:p>
    <w:p w14:paraId="0DDC3B5A" w14:textId="77777777" w:rsidR="00331F5B" w:rsidRPr="005863E4" w:rsidRDefault="00331F5B" w:rsidP="004C20B6">
      <w:pPr>
        <w:spacing w:after="0" w:line="240" w:lineRule="auto"/>
        <w:rPr>
          <w:rFonts w:cstheme="minorHAnsi"/>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8748"/>
      </w:tblGrid>
      <w:tr w:rsidR="004C20B6" w:rsidRPr="005863E4" w14:paraId="097C60D9" w14:textId="77777777" w:rsidTr="00AF5AC3">
        <w:tc>
          <w:tcPr>
            <w:tcW w:w="540" w:type="dxa"/>
          </w:tcPr>
          <w:p w14:paraId="54DDB460" w14:textId="77777777" w:rsidR="004C20B6" w:rsidRPr="005863E4" w:rsidRDefault="004C20B6" w:rsidP="00D7555D">
            <w:pPr>
              <w:jc w:val="right"/>
              <w:rPr>
                <w:rFonts w:cstheme="minorHAnsi"/>
              </w:rPr>
            </w:pPr>
            <w:r w:rsidRPr="005863E4">
              <w:rPr>
                <w:rFonts w:cstheme="minorHAnsi"/>
              </w:rPr>
              <w:t>a.</w:t>
            </w:r>
          </w:p>
        </w:tc>
        <w:tc>
          <w:tcPr>
            <w:tcW w:w="8748" w:type="dxa"/>
          </w:tcPr>
          <w:p w14:paraId="585DA80E" w14:textId="77777777" w:rsidR="004C20B6" w:rsidRPr="005863E4" w:rsidRDefault="004C20B6" w:rsidP="00BA2B5D">
            <w:pPr>
              <w:rPr>
                <w:rFonts w:cstheme="minorHAnsi"/>
              </w:rPr>
            </w:pPr>
            <w:r w:rsidRPr="005863E4">
              <w:rPr>
                <w:rFonts w:cstheme="minorHAnsi"/>
              </w:rPr>
              <w:t>A demographic profile of the metropolitan area that includes identification of the   locations of minority populations in aggregate</w:t>
            </w:r>
            <w:r w:rsidR="00331F5B" w:rsidRPr="005863E4">
              <w:rPr>
                <w:rFonts w:cstheme="minorHAnsi"/>
              </w:rPr>
              <w:t>.</w:t>
            </w:r>
          </w:p>
          <w:p w14:paraId="1C05117B" w14:textId="77777777" w:rsidR="004C20B6" w:rsidRPr="005863E4" w:rsidRDefault="004C20B6" w:rsidP="00BA2B5D">
            <w:pPr>
              <w:rPr>
                <w:rFonts w:cstheme="minorHAnsi"/>
              </w:rPr>
            </w:pPr>
          </w:p>
        </w:tc>
      </w:tr>
      <w:tr w:rsidR="004C20B6" w:rsidRPr="005863E4" w14:paraId="5CB637B3" w14:textId="77777777" w:rsidTr="00AF5AC3">
        <w:tc>
          <w:tcPr>
            <w:tcW w:w="540" w:type="dxa"/>
          </w:tcPr>
          <w:p w14:paraId="039C0B0D" w14:textId="77777777" w:rsidR="004C20B6" w:rsidRPr="005863E4" w:rsidRDefault="004C20B6" w:rsidP="00D7555D">
            <w:pPr>
              <w:jc w:val="right"/>
              <w:rPr>
                <w:rFonts w:cstheme="minorHAnsi"/>
              </w:rPr>
            </w:pPr>
            <w:r w:rsidRPr="005863E4">
              <w:rPr>
                <w:rFonts w:cstheme="minorHAnsi"/>
              </w:rPr>
              <w:t>b.</w:t>
            </w:r>
          </w:p>
        </w:tc>
        <w:tc>
          <w:tcPr>
            <w:tcW w:w="8748" w:type="dxa"/>
          </w:tcPr>
          <w:p w14:paraId="14609744" w14:textId="77777777" w:rsidR="004C20B6" w:rsidRPr="005863E4" w:rsidRDefault="004C20B6" w:rsidP="00BA2B5D">
            <w:pPr>
              <w:rPr>
                <w:rFonts w:cstheme="minorHAnsi"/>
              </w:rPr>
            </w:pPr>
            <w:r w:rsidRPr="005863E4">
              <w:rPr>
                <w:rFonts w:cstheme="minorHAnsi"/>
              </w:rPr>
              <w:t>A description of the procedures by which the mobility needs of minority populations are identified and considered within the planning process</w:t>
            </w:r>
            <w:r w:rsidR="00331F5B" w:rsidRPr="005863E4">
              <w:rPr>
                <w:rFonts w:cstheme="minorHAnsi"/>
              </w:rPr>
              <w:t>.</w:t>
            </w:r>
          </w:p>
          <w:p w14:paraId="5897BF41" w14:textId="77777777" w:rsidR="00331F5B" w:rsidRPr="005863E4" w:rsidRDefault="00331F5B" w:rsidP="00BA2B5D">
            <w:pPr>
              <w:rPr>
                <w:rFonts w:cstheme="minorHAnsi"/>
              </w:rPr>
            </w:pPr>
          </w:p>
          <w:p w14:paraId="5090F941" w14:textId="77777777" w:rsidR="00331F5B" w:rsidRPr="005863E4" w:rsidRDefault="00331F5B" w:rsidP="00331F5B">
            <w:pPr>
              <w:ind w:left="288"/>
              <w:rPr>
                <w:rFonts w:cstheme="minorHAnsi"/>
                <w:i/>
              </w:rPr>
            </w:pPr>
            <w:r w:rsidRPr="005863E4">
              <w:rPr>
                <w:rFonts w:cstheme="minorHAnsi"/>
                <w:i/>
              </w:rPr>
              <w:t xml:space="preserve">This information helps ensure members of minority communities are provided with full opportunities to engage in the transportation planning process. This includes actions to eliminate language, mobility, temporal, and other obstacles to allow minority populations to participate fully in the process.  </w:t>
            </w:r>
          </w:p>
          <w:p w14:paraId="64B707E1" w14:textId="77777777" w:rsidR="004C20B6" w:rsidRPr="005863E4" w:rsidRDefault="004C20B6" w:rsidP="00BA2B5D">
            <w:pPr>
              <w:rPr>
                <w:rFonts w:cstheme="minorHAnsi"/>
              </w:rPr>
            </w:pPr>
          </w:p>
        </w:tc>
      </w:tr>
      <w:tr w:rsidR="004C20B6" w:rsidRPr="005863E4" w14:paraId="3271BB1B" w14:textId="77777777" w:rsidTr="00AF5AC3">
        <w:tc>
          <w:tcPr>
            <w:tcW w:w="540" w:type="dxa"/>
          </w:tcPr>
          <w:p w14:paraId="5583BC9F" w14:textId="77777777" w:rsidR="004C20B6" w:rsidRPr="005863E4" w:rsidRDefault="004C20B6" w:rsidP="00D7555D">
            <w:pPr>
              <w:jc w:val="right"/>
              <w:rPr>
                <w:rFonts w:cstheme="minorHAnsi"/>
              </w:rPr>
            </w:pPr>
            <w:r w:rsidRPr="005863E4">
              <w:rPr>
                <w:rFonts w:cstheme="minorHAnsi"/>
              </w:rPr>
              <w:t>c.</w:t>
            </w:r>
          </w:p>
        </w:tc>
        <w:tc>
          <w:tcPr>
            <w:tcW w:w="8748" w:type="dxa"/>
          </w:tcPr>
          <w:p w14:paraId="39E7FD7F" w14:textId="77777777" w:rsidR="00AF5AC3" w:rsidRPr="005863E4" w:rsidRDefault="00AF5AC3" w:rsidP="00AF5AC3">
            <w:pPr>
              <w:rPr>
                <w:rFonts w:cstheme="minorHAnsi"/>
              </w:rPr>
            </w:pPr>
            <w:r w:rsidRPr="005863E4">
              <w:rPr>
                <w:rFonts w:cstheme="minorHAnsi"/>
              </w:rPr>
              <w:t xml:space="preserve">Demographic maps that overlay the percent minority and non-minority populations as </w:t>
            </w:r>
            <w:r w:rsidR="00D7555D" w:rsidRPr="005863E4">
              <w:rPr>
                <w:rFonts w:cstheme="minorHAnsi"/>
              </w:rPr>
              <w:t>identified</w:t>
            </w:r>
            <w:r w:rsidRPr="005863E4">
              <w:rPr>
                <w:rFonts w:cstheme="minorHAnsi"/>
              </w:rPr>
              <w:t xml:space="preserve"> by Census or ACS data, at Census tract or block group level, and charts that analyze the impacts of the distribution of State and Federal funds in the aggregate for public transportation purposes, including Federal funds managed by the MPO. </w:t>
            </w:r>
          </w:p>
          <w:p w14:paraId="13F4D3E5" w14:textId="77777777" w:rsidR="004C20B6" w:rsidRPr="005863E4" w:rsidRDefault="004C20B6" w:rsidP="00BA2B5D">
            <w:pPr>
              <w:rPr>
                <w:rFonts w:cstheme="minorHAnsi"/>
              </w:rPr>
            </w:pPr>
          </w:p>
        </w:tc>
      </w:tr>
      <w:tr w:rsidR="004C20B6" w:rsidRPr="005863E4" w14:paraId="33809051" w14:textId="77777777" w:rsidTr="00AF5AC3">
        <w:tc>
          <w:tcPr>
            <w:tcW w:w="540" w:type="dxa"/>
          </w:tcPr>
          <w:p w14:paraId="5023B627" w14:textId="77777777" w:rsidR="004C20B6" w:rsidRPr="005863E4" w:rsidRDefault="004C20B6" w:rsidP="00D7555D">
            <w:pPr>
              <w:jc w:val="right"/>
              <w:rPr>
                <w:rFonts w:cstheme="minorHAnsi"/>
              </w:rPr>
            </w:pPr>
            <w:r w:rsidRPr="005863E4">
              <w:rPr>
                <w:rFonts w:cstheme="minorHAnsi"/>
              </w:rPr>
              <w:t>d.</w:t>
            </w:r>
          </w:p>
        </w:tc>
        <w:tc>
          <w:tcPr>
            <w:tcW w:w="8748" w:type="dxa"/>
          </w:tcPr>
          <w:p w14:paraId="050FCA9E" w14:textId="77777777" w:rsidR="004C20B6" w:rsidRPr="005863E4" w:rsidRDefault="00AF5AC3" w:rsidP="00BA2B5D">
            <w:pPr>
              <w:rPr>
                <w:rFonts w:cstheme="minorHAnsi"/>
              </w:rPr>
            </w:pPr>
            <w:r w:rsidRPr="005863E4">
              <w:rPr>
                <w:rFonts w:cstheme="minorHAnsi"/>
              </w:rPr>
              <w:t xml:space="preserve">Analysis of the impacts </w:t>
            </w:r>
            <w:r w:rsidR="00D7555D" w:rsidRPr="005863E4">
              <w:rPr>
                <w:rFonts w:cstheme="minorHAnsi"/>
              </w:rPr>
              <w:t>identified</w:t>
            </w:r>
            <w:r w:rsidRPr="005863E4">
              <w:rPr>
                <w:rFonts w:cstheme="minorHAnsi"/>
              </w:rPr>
              <w:t xml:space="preserve"> in (c) that identifies any disparate impacts on the basis of race, color, or national origin, and, if so, determines whether there is a substantial legitimate justification for the policy that resulted in the disparate impacts, and if there are alternatives that could be employed that would have a less discriminatory impact.</w:t>
            </w:r>
          </w:p>
          <w:p w14:paraId="49DCB7B6" w14:textId="77777777" w:rsidR="00AF5AC3" w:rsidRPr="005863E4" w:rsidRDefault="00AF5AC3" w:rsidP="00BA2B5D">
            <w:pPr>
              <w:rPr>
                <w:rFonts w:cstheme="minorHAnsi"/>
              </w:rPr>
            </w:pPr>
          </w:p>
        </w:tc>
      </w:tr>
    </w:tbl>
    <w:p w14:paraId="662D4D0A" w14:textId="77777777" w:rsidR="00331F5B" w:rsidRPr="005863E4" w:rsidRDefault="00331F5B" w:rsidP="00C17346">
      <w:pPr>
        <w:spacing w:line="240" w:lineRule="auto"/>
        <w:rPr>
          <w:rFonts w:cstheme="minorHAnsi"/>
        </w:rPr>
      </w:pPr>
    </w:p>
    <w:p w14:paraId="72F15BC3" w14:textId="77777777" w:rsidR="00D47796" w:rsidRPr="005863E4" w:rsidRDefault="00D47796" w:rsidP="00D47796">
      <w:pPr>
        <w:spacing w:line="240" w:lineRule="auto"/>
        <w:rPr>
          <w:rFonts w:cstheme="minorHAnsi"/>
          <w:u w:val="single"/>
        </w:rPr>
      </w:pPr>
      <w:r w:rsidRPr="005863E4">
        <w:rPr>
          <w:rFonts w:cstheme="minorHAnsi"/>
          <w:u w:val="single"/>
        </w:rPr>
        <w:t>Note</w:t>
      </w:r>
      <w:r w:rsidR="00331F5B" w:rsidRPr="005863E4">
        <w:rPr>
          <w:rFonts w:cstheme="minorHAnsi"/>
          <w:u w:val="single"/>
        </w:rPr>
        <w:t>s:</w:t>
      </w:r>
    </w:p>
    <w:p w14:paraId="305A2D98" w14:textId="77777777" w:rsidR="00331F5B" w:rsidRPr="005863E4" w:rsidRDefault="00331F5B" w:rsidP="00331F5B">
      <w:pPr>
        <w:pStyle w:val="ListParagraph"/>
        <w:numPr>
          <w:ilvl w:val="0"/>
          <w:numId w:val="23"/>
        </w:numPr>
        <w:spacing w:line="240" w:lineRule="auto"/>
        <w:rPr>
          <w:rFonts w:cstheme="minorHAnsi"/>
        </w:rPr>
      </w:pPr>
      <w:r w:rsidRPr="005863E4">
        <w:rPr>
          <w:rFonts w:cstheme="minorHAnsi"/>
        </w:rPr>
        <w:t xml:space="preserve">If the MPO is a direct recipient, the MPO will be required to submit additional information to FTA per Chapter VI-1 of FTA Circular 4702.1B (October 1, 2012). </w:t>
      </w:r>
    </w:p>
    <w:p w14:paraId="0E93ED79" w14:textId="77777777" w:rsidR="00331F5B" w:rsidRPr="005863E4" w:rsidRDefault="00331F5B" w:rsidP="00331F5B">
      <w:pPr>
        <w:pStyle w:val="ListParagraph"/>
        <w:spacing w:line="240" w:lineRule="auto"/>
        <w:ind w:left="360"/>
        <w:rPr>
          <w:rFonts w:cstheme="minorHAnsi"/>
        </w:rPr>
      </w:pPr>
    </w:p>
    <w:p w14:paraId="5C09F8D9" w14:textId="77777777" w:rsidR="00C17346" w:rsidRPr="005863E4" w:rsidRDefault="00C17346" w:rsidP="00331F5B">
      <w:pPr>
        <w:pStyle w:val="ListParagraph"/>
        <w:numPr>
          <w:ilvl w:val="0"/>
          <w:numId w:val="23"/>
        </w:numPr>
        <w:spacing w:line="240" w:lineRule="auto"/>
        <w:rPr>
          <w:rFonts w:cstheme="minorHAnsi"/>
        </w:rPr>
      </w:pPr>
      <w:r w:rsidRPr="005863E4">
        <w:rPr>
          <w:rFonts w:cstheme="minorHAnsi"/>
        </w:rPr>
        <w:t xml:space="preserve">All MPOs are required to self-certify compliance with all applicable federal requirements. Planning certification reviews conducted jointly by FTA and FHWA of the metropolitan transportation planning processes of transportation management areas include a review of </w:t>
      </w:r>
      <w:r w:rsidR="00331F5B" w:rsidRPr="005863E4">
        <w:rPr>
          <w:rFonts w:cstheme="minorHAnsi"/>
        </w:rPr>
        <w:t>T</w:t>
      </w:r>
      <w:r w:rsidRPr="005863E4">
        <w:rPr>
          <w:rFonts w:cstheme="minorHAnsi"/>
        </w:rPr>
        <w:t>itle VI</w:t>
      </w:r>
      <w:r w:rsidR="00FE091D">
        <w:rPr>
          <w:rFonts w:cstheme="minorHAnsi"/>
        </w:rPr>
        <w:t>/ADA</w:t>
      </w:r>
      <w:r w:rsidRPr="005863E4">
        <w:rPr>
          <w:rFonts w:cstheme="minorHAnsi"/>
        </w:rPr>
        <w:t xml:space="preserve"> compliance. </w:t>
      </w:r>
    </w:p>
    <w:bookmarkEnd w:id="0"/>
    <w:p w14:paraId="059C7806" w14:textId="77777777" w:rsidR="00D0174F" w:rsidRPr="005863E4" w:rsidRDefault="00D0174F" w:rsidP="00C17346">
      <w:pPr>
        <w:spacing w:after="0" w:line="240" w:lineRule="auto"/>
        <w:rPr>
          <w:rFonts w:cstheme="minorHAnsi"/>
        </w:rPr>
      </w:pPr>
    </w:p>
    <w:sectPr w:rsidR="00D0174F" w:rsidRPr="005863E4" w:rsidSect="005863E4">
      <w:footerReference w:type="default" r:id="rId11"/>
      <w:pgSz w:w="12240" w:h="15840"/>
      <w:pgMar w:top="864"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D68E" w14:textId="77777777" w:rsidR="000A4C64" w:rsidRDefault="000A4C64" w:rsidP="00DD0F8D">
      <w:pPr>
        <w:spacing w:after="0" w:line="240" w:lineRule="auto"/>
      </w:pPr>
      <w:r>
        <w:separator/>
      </w:r>
    </w:p>
  </w:endnote>
  <w:endnote w:type="continuationSeparator" w:id="0">
    <w:p w14:paraId="417F2622" w14:textId="77777777" w:rsidR="000A4C64" w:rsidRDefault="000A4C64"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C738" w14:textId="77777777" w:rsidR="00F24E77" w:rsidRDefault="00F24E77">
    <w:pPr>
      <w:pStyle w:val="Footer"/>
      <w:jc w:val="center"/>
    </w:pPr>
  </w:p>
  <w:p w14:paraId="5A317D7E" w14:textId="77777777" w:rsidR="00F24E77" w:rsidRDefault="00F2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33D4" w14:textId="77777777" w:rsidR="000A4C64" w:rsidRDefault="000A4C64" w:rsidP="00DD0F8D">
      <w:pPr>
        <w:spacing w:after="0" w:line="240" w:lineRule="auto"/>
      </w:pPr>
      <w:r>
        <w:separator/>
      </w:r>
    </w:p>
  </w:footnote>
  <w:footnote w:type="continuationSeparator" w:id="0">
    <w:p w14:paraId="4A13909C" w14:textId="77777777" w:rsidR="000A4C64" w:rsidRDefault="000A4C64" w:rsidP="00DD0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14FB2768"/>
    <w:multiLevelType w:val="hybridMultilevel"/>
    <w:tmpl w:val="FD7C2E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9"/>
  </w:num>
  <w:num w:numId="4">
    <w:abstractNumId w:val="25"/>
  </w:num>
  <w:num w:numId="5">
    <w:abstractNumId w:val="14"/>
  </w:num>
  <w:num w:numId="6">
    <w:abstractNumId w:val="10"/>
  </w:num>
  <w:num w:numId="7">
    <w:abstractNumId w:val="6"/>
  </w:num>
  <w:num w:numId="8">
    <w:abstractNumId w:val="5"/>
  </w:num>
  <w:num w:numId="9">
    <w:abstractNumId w:val="12"/>
  </w:num>
  <w:num w:numId="10">
    <w:abstractNumId w:val="26"/>
  </w:num>
  <w:num w:numId="11">
    <w:abstractNumId w:val="18"/>
  </w:num>
  <w:num w:numId="12">
    <w:abstractNumId w:val="11"/>
  </w:num>
  <w:num w:numId="13">
    <w:abstractNumId w:val="0"/>
  </w:num>
  <w:num w:numId="14">
    <w:abstractNumId w:val="23"/>
  </w:num>
  <w:num w:numId="15">
    <w:abstractNumId w:val="4"/>
  </w:num>
  <w:num w:numId="16">
    <w:abstractNumId w:val="17"/>
  </w:num>
  <w:num w:numId="17">
    <w:abstractNumId w:val="21"/>
  </w:num>
  <w:num w:numId="18">
    <w:abstractNumId w:val="13"/>
  </w:num>
  <w:num w:numId="19">
    <w:abstractNumId w:val="8"/>
  </w:num>
  <w:num w:numId="20">
    <w:abstractNumId w:val="27"/>
  </w:num>
  <w:num w:numId="21">
    <w:abstractNumId w:val="2"/>
  </w:num>
  <w:num w:numId="22">
    <w:abstractNumId w:val="1"/>
  </w:num>
  <w:num w:numId="23">
    <w:abstractNumId w:val="15"/>
  </w:num>
  <w:num w:numId="24">
    <w:abstractNumId w:val="3"/>
  </w:num>
  <w:num w:numId="25">
    <w:abstractNumId w:val="19"/>
  </w:num>
  <w:num w:numId="26">
    <w:abstractNumId w:val="22"/>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34D8B"/>
    <w:rsid w:val="00044794"/>
    <w:rsid w:val="000461E7"/>
    <w:rsid w:val="00046E32"/>
    <w:rsid w:val="00074618"/>
    <w:rsid w:val="00076661"/>
    <w:rsid w:val="00080B1E"/>
    <w:rsid w:val="0008772D"/>
    <w:rsid w:val="000A1214"/>
    <w:rsid w:val="000A4C64"/>
    <w:rsid w:val="000D33D5"/>
    <w:rsid w:val="000F4E8D"/>
    <w:rsid w:val="0010721E"/>
    <w:rsid w:val="001128E2"/>
    <w:rsid w:val="00126BBC"/>
    <w:rsid w:val="001B4731"/>
    <w:rsid w:val="001B7032"/>
    <w:rsid w:val="001D31B8"/>
    <w:rsid w:val="001D3904"/>
    <w:rsid w:val="001E0D68"/>
    <w:rsid w:val="001E1B9C"/>
    <w:rsid w:val="001F07BE"/>
    <w:rsid w:val="001F2023"/>
    <w:rsid w:val="001F4F0F"/>
    <w:rsid w:val="001F70F9"/>
    <w:rsid w:val="00205A16"/>
    <w:rsid w:val="002102B2"/>
    <w:rsid w:val="002104B3"/>
    <w:rsid w:val="00222A6C"/>
    <w:rsid w:val="00223B81"/>
    <w:rsid w:val="00224474"/>
    <w:rsid w:val="00231542"/>
    <w:rsid w:val="00236D66"/>
    <w:rsid w:val="002553EB"/>
    <w:rsid w:val="002567B6"/>
    <w:rsid w:val="00287482"/>
    <w:rsid w:val="00291479"/>
    <w:rsid w:val="002A0F14"/>
    <w:rsid w:val="002A3CCE"/>
    <w:rsid w:val="002C6CA5"/>
    <w:rsid w:val="002E2BE1"/>
    <w:rsid w:val="002F6AB3"/>
    <w:rsid w:val="002F6BC6"/>
    <w:rsid w:val="002F76D3"/>
    <w:rsid w:val="0032244E"/>
    <w:rsid w:val="00330988"/>
    <w:rsid w:val="00331F5B"/>
    <w:rsid w:val="00335A70"/>
    <w:rsid w:val="00347C8F"/>
    <w:rsid w:val="00362D88"/>
    <w:rsid w:val="00372F55"/>
    <w:rsid w:val="00387B38"/>
    <w:rsid w:val="003B6F4A"/>
    <w:rsid w:val="003C1B4E"/>
    <w:rsid w:val="003D5236"/>
    <w:rsid w:val="003D5807"/>
    <w:rsid w:val="003D6689"/>
    <w:rsid w:val="0040095F"/>
    <w:rsid w:val="0044072A"/>
    <w:rsid w:val="00447FDF"/>
    <w:rsid w:val="00450FD8"/>
    <w:rsid w:val="00454021"/>
    <w:rsid w:val="004542D7"/>
    <w:rsid w:val="004745E5"/>
    <w:rsid w:val="00485371"/>
    <w:rsid w:val="00486BD2"/>
    <w:rsid w:val="00495572"/>
    <w:rsid w:val="004A2B19"/>
    <w:rsid w:val="004B1E5E"/>
    <w:rsid w:val="004C19A5"/>
    <w:rsid w:val="004C20B6"/>
    <w:rsid w:val="004C230A"/>
    <w:rsid w:val="004D7C31"/>
    <w:rsid w:val="004E1517"/>
    <w:rsid w:val="004E15D2"/>
    <w:rsid w:val="004F69EA"/>
    <w:rsid w:val="00503819"/>
    <w:rsid w:val="00505EED"/>
    <w:rsid w:val="00514041"/>
    <w:rsid w:val="005372DC"/>
    <w:rsid w:val="00560FB2"/>
    <w:rsid w:val="005820A4"/>
    <w:rsid w:val="00582B17"/>
    <w:rsid w:val="005863E4"/>
    <w:rsid w:val="00591F6D"/>
    <w:rsid w:val="005A2E68"/>
    <w:rsid w:val="005B10EA"/>
    <w:rsid w:val="005C31C3"/>
    <w:rsid w:val="005D45E1"/>
    <w:rsid w:val="005F0242"/>
    <w:rsid w:val="0060051E"/>
    <w:rsid w:val="00605640"/>
    <w:rsid w:val="00630599"/>
    <w:rsid w:val="006437A7"/>
    <w:rsid w:val="00643EA8"/>
    <w:rsid w:val="0064561D"/>
    <w:rsid w:val="0068015E"/>
    <w:rsid w:val="00680BE6"/>
    <w:rsid w:val="0068505B"/>
    <w:rsid w:val="00693E8B"/>
    <w:rsid w:val="00695E57"/>
    <w:rsid w:val="006A3CDE"/>
    <w:rsid w:val="006A44EF"/>
    <w:rsid w:val="006B13F0"/>
    <w:rsid w:val="006B1A95"/>
    <w:rsid w:val="006D415B"/>
    <w:rsid w:val="006F5EA5"/>
    <w:rsid w:val="00723878"/>
    <w:rsid w:val="00751E7D"/>
    <w:rsid w:val="0075234E"/>
    <w:rsid w:val="00756C18"/>
    <w:rsid w:val="00760B50"/>
    <w:rsid w:val="007723E6"/>
    <w:rsid w:val="007A101F"/>
    <w:rsid w:val="007A39F4"/>
    <w:rsid w:val="007C6A84"/>
    <w:rsid w:val="007D1EE1"/>
    <w:rsid w:val="007D6DB4"/>
    <w:rsid w:val="007F48D2"/>
    <w:rsid w:val="0081390A"/>
    <w:rsid w:val="008175E6"/>
    <w:rsid w:val="00834208"/>
    <w:rsid w:val="00843E25"/>
    <w:rsid w:val="008657B5"/>
    <w:rsid w:val="008807E7"/>
    <w:rsid w:val="00885F7B"/>
    <w:rsid w:val="00886A61"/>
    <w:rsid w:val="00897D0E"/>
    <w:rsid w:val="008C28E2"/>
    <w:rsid w:val="008D0137"/>
    <w:rsid w:val="008E1C11"/>
    <w:rsid w:val="00914AB6"/>
    <w:rsid w:val="009240A3"/>
    <w:rsid w:val="009308F2"/>
    <w:rsid w:val="009359D4"/>
    <w:rsid w:val="00945AE2"/>
    <w:rsid w:val="00961F11"/>
    <w:rsid w:val="00974DF5"/>
    <w:rsid w:val="009907DC"/>
    <w:rsid w:val="009A16DF"/>
    <w:rsid w:val="009B1B96"/>
    <w:rsid w:val="00A07E0C"/>
    <w:rsid w:val="00A111F8"/>
    <w:rsid w:val="00A16006"/>
    <w:rsid w:val="00A23C3A"/>
    <w:rsid w:val="00A273A4"/>
    <w:rsid w:val="00A620E8"/>
    <w:rsid w:val="00A6216E"/>
    <w:rsid w:val="00A75D5A"/>
    <w:rsid w:val="00A82F78"/>
    <w:rsid w:val="00A90438"/>
    <w:rsid w:val="00AA5CCB"/>
    <w:rsid w:val="00AA7CE4"/>
    <w:rsid w:val="00AC4106"/>
    <w:rsid w:val="00AC48D5"/>
    <w:rsid w:val="00AD4B43"/>
    <w:rsid w:val="00AF5AC3"/>
    <w:rsid w:val="00B23BFA"/>
    <w:rsid w:val="00B2413D"/>
    <w:rsid w:val="00B31A87"/>
    <w:rsid w:val="00B32544"/>
    <w:rsid w:val="00B427C2"/>
    <w:rsid w:val="00B812FD"/>
    <w:rsid w:val="00B82834"/>
    <w:rsid w:val="00B9009A"/>
    <w:rsid w:val="00B93E79"/>
    <w:rsid w:val="00BA2B5D"/>
    <w:rsid w:val="00BA5BC0"/>
    <w:rsid w:val="00BA7D63"/>
    <w:rsid w:val="00BB5A3B"/>
    <w:rsid w:val="00BB5D3D"/>
    <w:rsid w:val="00BB6B41"/>
    <w:rsid w:val="00BE64A4"/>
    <w:rsid w:val="00BF664C"/>
    <w:rsid w:val="00BF6884"/>
    <w:rsid w:val="00BF7A00"/>
    <w:rsid w:val="00C029DC"/>
    <w:rsid w:val="00C05C14"/>
    <w:rsid w:val="00C17346"/>
    <w:rsid w:val="00C35538"/>
    <w:rsid w:val="00C43E21"/>
    <w:rsid w:val="00C72F5A"/>
    <w:rsid w:val="00C7645B"/>
    <w:rsid w:val="00CA1860"/>
    <w:rsid w:val="00CB14DA"/>
    <w:rsid w:val="00CE779D"/>
    <w:rsid w:val="00CE7952"/>
    <w:rsid w:val="00CF5188"/>
    <w:rsid w:val="00D0174F"/>
    <w:rsid w:val="00D2325B"/>
    <w:rsid w:val="00D365A6"/>
    <w:rsid w:val="00D47796"/>
    <w:rsid w:val="00D557CD"/>
    <w:rsid w:val="00D708BB"/>
    <w:rsid w:val="00D7555D"/>
    <w:rsid w:val="00D75E72"/>
    <w:rsid w:val="00DD0F8D"/>
    <w:rsid w:val="00DD7F1F"/>
    <w:rsid w:val="00DE1688"/>
    <w:rsid w:val="00DE3716"/>
    <w:rsid w:val="00DE402F"/>
    <w:rsid w:val="00E35122"/>
    <w:rsid w:val="00E66C7A"/>
    <w:rsid w:val="00E87960"/>
    <w:rsid w:val="00EC0AA0"/>
    <w:rsid w:val="00EE5F5B"/>
    <w:rsid w:val="00EF7226"/>
    <w:rsid w:val="00F0395D"/>
    <w:rsid w:val="00F10F22"/>
    <w:rsid w:val="00F23EAC"/>
    <w:rsid w:val="00F24B41"/>
    <w:rsid w:val="00F24E77"/>
    <w:rsid w:val="00F33672"/>
    <w:rsid w:val="00F55696"/>
    <w:rsid w:val="00F64CDB"/>
    <w:rsid w:val="00F71F0E"/>
    <w:rsid w:val="00F740E6"/>
    <w:rsid w:val="00F82272"/>
    <w:rsid w:val="00F90A82"/>
    <w:rsid w:val="00F93AB8"/>
    <w:rsid w:val="00F95846"/>
    <w:rsid w:val="00F96161"/>
    <w:rsid w:val="00FA4F25"/>
    <w:rsid w:val="00FC681B"/>
    <w:rsid w:val="00FD3AE3"/>
    <w:rsid w:val="00FD74D8"/>
    <w:rsid w:val="00FE091D"/>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F981"/>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semiHidden/>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531FC-5D26-40F8-ADFF-727EEC5B580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1C983A-1041-4A2F-BD19-FC9E9FD8B8D4}">
  <ds:schemaRefs>
    <ds:schemaRef ds:uri="http://schemas.microsoft.com/sharepoint/v3/contenttype/forms"/>
  </ds:schemaRefs>
</ds:datastoreItem>
</file>

<file path=customXml/itemProps3.xml><?xml version="1.0" encoding="utf-8"?>
<ds:datastoreItem xmlns:ds="http://schemas.openxmlformats.org/officeDocument/2006/customXml" ds:itemID="{1D330362-FB7B-4D5D-BC4C-F6ABB9449C95}">
  <ds:schemaRefs>
    <ds:schemaRef ds:uri="http://schemas.openxmlformats.org/officeDocument/2006/bibliography"/>
  </ds:schemaRefs>
</ds:datastoreItem>
</file>

<file path=customXml/itemProps4.xml><?xml version="1.0" encoding="utf-8"?>
<ds:datastoreItem xmlns:ds="http://schemas.openxmlformats.org/officeDocument/2006/customXml" ds:itemID="{5A44CE3D-FF7E-464C-89BB-EA1DC50C8065}"/>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Transit Handbook Appendix - WisDOT</dc:title>
  <dc:subject>Title VI Template</dc:subject>
  <dc:creator>WisDOT</dc:creator>
  <cp:lastModifiedBy>Soderholm, Becky - DOT</cp:lastModifiedBy>
  <cp:revision>2</cp:revision>
  <cp:lastPrinted>2020-02-07T17:09:00Z</cp:lastPrinted>
  <dcterms:created xsi:type="dcterms:W3CDTF">2023-01-11T01:47:00Z</dcterms:created>
  <dcterms:modified xsi:type="dcterms:W3CDTF">2023-01-11T01:47:00Z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