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0D" w:rsidRDefault="005A0780" w:rsidP="001A6E95">
      <w:pPr>
        <w:pStyle w:val="Title"/>
        <w:jc w:val="left"/>
        <w:rPr>
          <w:rFonts w:ascii="Arial" w:hAnsi="Arial" w:cs="Arial"/>
        </w:rPr>
      </w:pPr>
      <w:r>
        <w:rPr>
          <w:noProof/>
        </w:rPr>
        <w:drawing>
          <wp:anchor distT="0" distB="0" distL="0" distR="91440" simplePos="0" relativeHeight="251657728" behindDoc="0" locked="0" layoutInCell="1" allowOverlap="1">
            <wp:simplePos x="0" y="0"/>
            <wp:positionH relativeFrom="column">
              <wp:posOffset>0</wp:posOffset>
            </wp:positionH>
            <wp:positionV relativeFrom="paragraph">
              <wp:posOffset>-18415</wp:posOffset>
            </wp:positionV>
            <wp:extent cx="457200" cy="457200"/>
            <wp:effectExtent l="0" t="0" r="0" b="0"/>
            <wp:wrapSquare wrapText="bothSides"/>
            <wp:docPr id="2" name="Picture 2" descr="wisdot-agency-name-logo-K-Form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dot-agency-name-logo-K-Forms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080D">
        <w:rPr>
          <w:rFonts w:ascii="Arial" w:hAnsi="Arial" w:cs="Arial"/>
        </w:rPr>
        <w:t>PROJECT TEAM’S EVALUATION OF THE CONTRACTOR</w:t>
      </w:r>
    </w:p>
    <w:p w:rsidR="00DD080D" w:rsidRDefault="00DD080D" w:rsidP="001A6E95">
      <w:pPr>
        <w:rPr>
          <w:rFonts w:ascii="Arial" w:hAnsi="Arial" w:cs="Arial"/>
          <w:sz w:val="18"/>
          <w:szCs w:val="18"/>
        </w:rPr>
      </w:pPr>
      <w:r>
        <w:rPr>
          <w:rFonts w:ascii="Arial" w:hAnsi="Arial" w:cs="Arial"/>
          <w:sz w:val="18"/>
          <w:szCs w:val="18"/>
        </w:rPr>
        <w:t>Wisconsin Department of Transportation</w:t>
      </w:r>
    </w:p>
    <w:p w:rsidR="00DD080D" w:rsidRDefault="00DD080D" w:rsidP="008C46FB">
      <w:pPr>
        <w:rPr>
          <w:rFonts w:ascii="Arial" w:hAnsi="Arial" w:cs="Arial"/>
          <w:sz w:val="16"/>
        </w:rPr>
      </w:pPr>
      <w:r>
        <w:rPr>
          <w:rFonts w:ascii="Arial" w:hAnsi="Arial" w:cs="Arial"/>
          <w:sz w:val="16"/>
        </w:rPr>
        <w:t xml:space="preserve">DT2510         </w:t>
      </w:r>
      <w:r w:rsidR="001A6E95">
        <w:rPr>
          <w:rFonts w:ascii="Arial" w:hAnsi="Arial" w:cs="Arial"/>
          <w:sz w:val="16"/>
        </w:rPr>
        <w:t>1</w:t>
      </w:r>
      <w:r>
        <w:rPr>
          <w:rFonts w:ascii="Arial" w:hAnsi="Arial" w:cs="Arial"/>
          <w:sz w:val="16"/>
        </w:rPr>
        <w:t>/201</w:t>
      </w:r>
      <w:r w:rsidR="001A6E95">
        <w:rPr>
          <w:rFonts w:ascii="Arial" w:hAnsi="Arial" w:cs="Arial"/>
          <w:sz w:val="16"/>
        </w:rPr>
        <w:t>8</w:t>
      </w:r>
    </w:p>
    <w:p w:rsidR="00DD080D" w:rsidRDefault="00DD080D">
      <w:pPr>
        <w:spacing w:before="120" w:after="120"/>
        <w:rPr>
          <w:rFonts w:ascii="Arial" w:hAnsi="Arial" w:cs="Arial"/>
          <w:sz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874"/>
        <w:gridCol w:w="2968"/>
        <w:gridCol w:w="1006"/>
        <w:gridCol w:w="1592"/>
        <w:gridCol w:w="1680"/>
        <w:gridCol w:w="1680"/>
      </w:tblGrid>
      <w:tr w:rsidR="00DD080D" w:rsidTr="001A6E95">
        <w:tc>
          <w:tcPr>
            <w:tcW w:w="1908" w:type="dxa"/>
          </w:tcPr>
          <w:p w:rsidR="00DD080D" w:rsidRDefault="00DD080D" w:rsidP="004E66D4">
            <w:pPr>
              <w:spacing w:before="20" w:after="20"/>
              <w:rPr>
                <w:rFonts w:ascii="Arial" w:hAnsi="Arial" w:cs="Arial"/>
                <w:sz w:val="16"/>
              </w:rPr>
            </w:pPr>
            <w:r>
              <w:rPr>
                <w:rFonts w:ascii="Arial" w:hAnsi="Arial" w:cs="Arial"/>
                <w:sz w:val="16"/>
              </w:rPr>
              <w:t>Report Date (m/d/yyyy)</w:t>
            </w:r>
          </w:p>
          <w:p w:rsidR="00DD080D" w:rsidRDefault="005E09E7" w:rsidP="004E66D4">
            <w:pPr>
              <w:spacing w:before="20" w:after="20"/>
              <w:rPr>
                <w:rFonts w:ascii="Arial" w:hAnsi="Arial" w:cs="Arial"/>
                <w:sz w:val="16"/>
              </w:rPr>
            </w:pPr>
            <w:r>
              <w:rPr>
                <w:rFonts w:ascii="Arial" w:hAnsi="Arial" w:cs="Arial"/>
                <w:sz w:val="22"/>
              </w:rPr>
              <w:fldChar w:fldCharType="begin">
                <w:ffData>
                  <w:name w:val=""/>
                  <w:enabled/>
                  <w:calcOnExit w:val="0"/>
                  <w:textInput>
                    <w:type w:val="date"/>
                    <w:format w:val="M/d/yyyy"/>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024" w:type="dxa"/>
          </w:tcPr>
          <w:p w:rsidR="004E66D4" w:rsidRPr="00F96A00" w:rsidRDefault="004E66D4" w:rsidP="004E66D4">
            <w:pPr>
              <w:spacing w:before="20" w:after="20"/>
              <w:rPr>
                <w:rFonts w:ascii="Arial" w:hAnsi="Arial" w:cs="Arial"/>
                <w:sz w:val="16"/>
              </w:rPr>
            </w:pPr>
            <w:r w:rsidRPr="00F96A00">
              <w:rPr>
                <w:rFonts w:ascii="Arial" w:hAnsi="Arial" w:cs="Arial"/>
                <w:sz w:val="16"/>
              </w:rPr>
              <w:t xml:space="preserve">Project </w:t>
            </w:r>
            <w:r w:rsidR="001A6E95">
              <w:rPr>
                <w:rFonts w:ascii="Arial" w:hAnsi="Arial" w:cs="Arial"/>
                <w:sz w:val="16"/>
              </w:rPr>
              <w:t>Engineer</w:t>
            </w:r>
            <w:r>
              <w:rPr>
                <w:rFonts w:ascii="Arial" w:hAnsi="Arial" w:cs="Arial"/>
                <w:sz w:val="16"/>
              </w:rPr>
              <w:t xml:space="preserve"> </w:t>
            </w:r>
            <w:r w:rsidRPr="001A6E95">
              <w:rPr>
                <w:rFonts w:ascii="Arial" w:hAnsi="Arial" w:cs="Arial"/>
                <w:sz w:val="15"/>
                <w:szCs w:val="15"/>
              </w:rPr>
              <w:t>(and Firm if Consultant)</w:t>
            </w:r>
          </w:p>
          <w:p w:rsidR="00DD080D" w:rsidRDefault="004E66D4" w:rsidP="004E66D4">
            <w:pPr>
              <w:spacing w:before="20" w:after="20"/>
              <w:rPr>
                <w:rFonts w:ascii="Arial" w:hAnsi="Arial" w:cs="Arial"/>
                <w:sz w:val="16"/>
              </w:rPr>
            </w:pPr>
            <w:r w:rsidRPr="00F96A00">
              <w:rPr>
                <w:rFonts w:ascii="Arial" w:hAnsi="Arial" w:cs="Arial"/>
                <w:sz w:val="22"/>
              </w:rPr>
              <w:fldChar w:fldCharType="begin">
                <w:ffData>
                  <w:name w:val=""/>
                  <w:enabled/>
                  <w:calcOnExit w:val="0"/>
                  <w:textInput/>
                </w:ffData>
              </w:fldChar>
            </w:r>
            <w:r w:rsidRPr="00F96A00">
              <w:rPr>
                <w:rFonts w:ascii="Arial" w:hAnsi="Arial" w:cs="Arial"/>
                <w:sz w:val="22"/>
              </w:rPr>
              <w:instrText xml:space="preserve"> FORMTEXT </w:instrText>
            </w:r>
            <w:r w:rsidRPr="00F96A00">
              <w:rPr>
                <w:rFonts w:ascii="Arial" w:hAnsi="Arial" w:cs="Arial"/>
                <w:sz w:val="22"/>
              </w:rPr>
            </w:r>
            <w:r w:rsidRPr="00F96A00">
              <w:rPr>
                <w:rFonts w:ascii="Arial" w:hAnsi="Arial" w:cs="Arial"/>
                <w:sz w:val="22"/>
              </w:rPr>
              <w:fldChar w:fldCharType="separate"/>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sz w:val="22"/>
              </w:rPr>
              <w:fldChar w:fldCharType="end"/>
            </w:r>
          </w:p>
        </w:tc>
        <w:tc>
          <w:tcPr>
            <w:tcW w:w="2646" w:type="dxa"/>
            <w:gridSpan w:val="2"/>
          </w:tcPr>
          <w:p w:rsidR="004E66D4" w:rsidRPr="00F96A00" w:rsidRDefault="004E66D4" w:rsidP="004E66D4">
            <w:pPr>
              <w:spacing w:before="20" w:after="20"/>
              <w:rPr>
                <w:rFonts w:ascii="Arial" w:hAnsi="Arial" w:cs="Arial"/>
                <w:sz w:val="16"/>
              </w:rPr>
            </w:pPr>
            <w:r w:rsidRPr="00F96A00">
              <w:rPr>
                <w:rFonts w:ascii="Arial" w:hAnsi="Arial" w:cs="Arial"/>
                <w:sz w:val="16"/>
              </w:rPr>
              <w:t xml:space="preserve">Project </w:t>
            </w:r>
            <w:r>
              <w:rPr>
                <w:rFonts w:ascii="Arial" w:hAnsi="Arial" w:cs="Arial"/>
                <w:sz w:val="16"/>
              </w:rPr>
              <w:t>Manager</w:t>
            </w:r>
          </w:p>
          <w:p w:rsidR="00DD080D" w:rsidRDefault="004E66D4" w:rsidP="004E66D4">
            <w:pPr>
              <w:spacing w:before="20" w:after="20"/>
              <w:rPr>
                <w:rFonts w:ascii="Arial" w:hAnsi="Arial" w:cs="Arial"/>
                <w:sz w:val="16"/>
              </w:rPr>
            </w:pPr>
            <w:r w:rsidRPr="00F96A00">
              <w:rPr>
                <w:rFonts w:ascii="Arial" w:hAnsi="Arial" w:cs="Arial"/>
                <w:sz w:val="22"/>
              </w:rPr>
              <w:fldChar w:fldCharType="begin">
                <w:ffData>
                  <w:name w:val=""/>
                  <w:enabled/>
                  <w:calcOnExit w:val="0"/>
                  <w:textInput/>
                </w:ffData>
              </w:fldChar>
            </w:r>
            <w:r w:rsidRPr="00F96A00">
              <w:rPr>
                <w:rFonts w:ascii="Arial" w:hAnsi="Arial" w:cs="Arial"/>
                <w:sz w:val="22"/>
              </w:rPr>
              <w:instrText xml:space="preserve"> FORMTEXT </w:instrText>
            </w:r>
            <w:r w:rsidRPr="00F96A00">
              <w:rPr>
                <w:rFonts w:ascii="Arial" w:hAnsi="Arial" w:cs="Arial"/>
                <w:sz w:val="22"/>
              </w:rPr>
            </w:r>
            <w:r w:rsidRPr="00F96A00">
              <w:rPr>
                <w:rFonts w:ascii="Arial" w:hAnsi="Arial" w:cs="Arial"/>
                <w:sz w:val="22"/>
              </w:rPr>
              <w:fldChar w:fldCharType="separate"/>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noProof/>
                <w:sz w:val="22"/>
              </w:rPr>
              <w:t> </w:t>
            </w:r>
            <w:r w:rsidRPr="00F96A00">
              <w:rPr>
                <w:rFonts w:ascii="Arial" w:hAnsi="Arial" w:cs="Arial"/>
                <w:sz w:val="22"/>
              </w:rPr>
              <w:fldChar w:fldCharType="end"/>
            </w:r>
          </w:p>
        </w:tc>
        <w:tc>
          <w:tcPr>
            <w:tcW w:w="1710" w:type="dxa"/>
            <w:tcBorders>
              <w:right w:val="single" w:sz="4" w:space="0" w:color="auto"/>
            </w:tcBorders>
          </w:tcPr>
          <w:p w:rsidR="004E66D4" w:rsidRDefault="004E66D4" w:rsidP="004E66D4">
            <w:pPr>
              <w:spacing w:before="20" w:after="20"/>
              <w:rPr>
                <w:rFonts w:ascii="Arial" w:hAnsi="Arial" w:cs="Arial"/>
                <w:sz w:val="16"/>
              </w:rPr>
            </w:pPr>
            <w:r>
              <w:rPr>
                <w:rFonts w:ascii="Arial" w:hAnsi="Arial" w:cs="Arial"/>
                <w:sz w:val="16"/>
              </w:rPr>
              <w:t>Highway</w:t>
            </w:r>
          </w:p>
          <w:p w:rsidR="00DD080D" w:rsidRDefault="004E66D4"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10" w:type="dxa"/>
            <w:tcBorders>
              <w:left w:val="single" w:sz="4" w:space="0" w:color="auto"/>
            </w:tcBorders>
          </w:tcPr>
          <w:p w:rsidR="004E66D4" w:rsidRDefault="004E66D4" w:rsidP="004E66D4">
            <w:pPr>
              <w:spacing w:before="20" w:after="20"/>
              <w:rPr>
                <w:rFonts w:ascii="Arial" w:hAnsi="Arial" w:cs="Arial"/>
                <w:sz w:val="16"/>
              </w:rPr>
            </w:pPr>
            <w:r>
              <w:rPr>
                <w:rFonts w:ascii="Arial" w:hAnsi="Arial" w:cs="Arial"/>
                <w:sz w:val="16"/>
              </w:rPr>
              <w:t>Project ID</w:t>
            </w:r>
          </w:p>
          <w:p w:rsidR="00DD080D" w:rsidRDefault="004E66D4"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D080D" w:rsidTr="001A6E95">
        <w:tc>
          <w:tcPr>
            <w:tcW w:w="1908" w:type="dxa"/>
          </w:tcPr>
          <w:p w:rsidR="00DD080D" w:rsidRDefault="00DD080D" w:rsidP="004E66D4">
            <w:pPr>
              <w:spacing w:before="20" w:after="20"/>
              <w:rPr>
                <w:rFonts w:ascii="Arial" w:hAnsi="Arial" w:cs="Arial"/>
                <w:sz w:val="16"/>
              </w:rPr>
            </w:pPr>
            <w:r>
              <w:rPr>
                <w:rFonts w:ascii="Arial" w:hAnsi="Arial" w:cs="Arial"/>
                <w:sz w:val="16"/>
              </w:rPr>
              <w:t>WisDOT Region</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050" w:type="dxa"/>
            <w:gridSpan w:val="2"/>
          </w:tcPr>
          <w:p w:rsidR="00DD080D" w:rsidRDefault="00DD080D" w:rsidP="004E66D4">
            <w:pPr>
              <w:spacing w:before="20" w:after="20"/>
              <w:rPr>
                <w:rFonts w:ascii="Arial" w:hAnsi="Arial" w:cs="Arial"/>
                <w:sz w:val="16"/>
              </w:rPr>
            </w:pPr>
            <w:r>
              <w:rPr>
                <w:rFonts w:ascii="Arial" w:hAnsi="Arial" w:cs="Arial"/>
                <w:sz w:val="16"/>
              </w:rPr>
              <w:t>Contractor</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620" w:type="dxa"/>
          </w:tcPr>
          <w:p w:rsidR="00DD080D" w:rsidRDefault="00DD080D" w:rsidP="004E66D4">
            <w:pPr>
              <w:spacing w:before="20" w:after="20"/>
              <w:rPr>
                <w:rFonts w:ascii="Arial" w:hAnsi="Arial" w:cs="Arial"/>
                <w:sz w:val="16"/>
              </w:rPr>
            </w:pPr>
            <w:r>
              <w:rPr>
                <w:rFonts w:ascii="Arial" w:hAnsi="Arial" w:cs="Arial"/>
                <w:sz w:val="16"/>
              </w:rPr>
              <w:t>Construction Year</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type w:val="number"/>
                    <w:maxLength w:val="4"/>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420" w:type="dxa"/>
            <w:gridSpan w:val="2"/>
          </w:tcPr>
          <w:p w:rsidR="00DD080D" w:rsidRDefault="00DD080D" w:rsidP="004E66D4">
            <w:pPr>
              <w:spacing w:before="20" w:after="20"/>
              <w:rPr>
                <w:rFonts w:ascii="Arial" w:hAnsi="Arial" w:cs="Arial"/>
                <w:sz w:val="16"/>
              </w:rPr>
            </w:pPr>
            <w:r>
              <w:rPr>
                <w:rFonts w:ascii="Arial" w:hAnsi="Arial" w:cs="Arial"/>
                <w:sz w:val="16"/>
              </w:rPr>
              <w:t>Form filled out by</w:t>
            </w:r>
          </w:p>
          <w:p w:rsidR="00DD080D" w:rsidRDefault="00DD080D" w:rsidP="004E66D4">
            <w:pPr>
              <w:spacing w:before="20" w:after="20"/>
              <w:rPr>
                <w:rFonts w:ascii="Arial" w:hAnsi="Arial" w:cs="Arial"/>
                <w:sz w:val="16"/>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DD080D" w:rsidRDefault="00DD080D">
      <w:pPr>
        <w:spacing w:before="360" w:after="240"/>
        <w:rPr>
          <w:rFonts w:ascii="Arial" w:hAnsi="Arial" w:cs="Arial"/>
          <w:sz w:val="22"/>
          <w:szCs w:val="22"/>
        </w:rPr>
      </w:pPr>
      <w:r w:rsidRPr="004D39E9">
        <w:rPr>
          <w:rFonts w:ascii="Arial" w:hAnsi="Arial" w:cs="Arial"/>
          <w:sz w:val="22"/>
          <w:szCs w:val="22"/>
        </w:rPr>
        <w:t>This report is intended to provide feedback to WisDOT management on the prime contractor’s performance. Please return this evaluation form to the Region</w:t>
      </w:r>
      <w:r w:rsidR="004D39E9" w:rsidRPr="004D39E9">
        <w:rPr>
          <w:rFonts w:ascii="Arial" w:hAnsi="Arial" w:cs="Arial"/>
          <w:sz w:val="22"/>
          <w:szCs w:val="24"/>
        </w:rPr>
        <w:t xml:space="preserve"> </w:t>
      </w:r>
      <w:r w:rsidR="004D39E9">
        <w:rPr>
          <w:rFonts w:ascii="Arial" w:hAnsi="Arial" w:cs="Arial"/>
          <w:sz w:val="22"/>
          <w:szCs w:val="24"/>
        </w:rPr>
        <w:t>Contract</w:t>
      </w:r>
      <w:r w:rsidR="004D39E9" w:rsidRPr="004D39E9">
        <w:rPr>
          <w:rFonts w:ascii="Arial" w:hAnsi="Arial" w:cs="Arial"/>
          <w:sz w:val="22"/>
          <w:szCs w:val="24"/>
        </w:rPr>
        <w:t xml:space="preserve"> Specialist</w:t>
      </w:r>
      <w:r w:rsidRPr="004D39E9">
        <w:rPr>
          <w:rFonts w:ascii="Arial" w:hAnsi="Arial" w:cs="Arial"/>
          <w:sz w:val="22"/>
          <w:szCs w:val="22"/>
        </w:rPr>
        <w:t xml:space="preserve"> along with the project finals box.</w:t>
      </w:r>
    </w:p>
    <w:p w:rsidR="00DD080D" w:rsidRDefault="00DD080D">
      <w:pPr>
        <w:spacing w:before="120" w:after="240"/>
        <w:rPr>
          <w:rFonts w:ascii="Arial" w:hAnsi="Arial" w:cs="Arial"/>
          <w:sz w:val="22"/>
          <w:szCs w:val="22"/>
        </w:rPr>
      </w:pPr>
      <w:r>
        <w:rPr>
          <w:rFonts w:ascii="Arial" w:hAnsi="Arial" w:cs="Arial"/>
          <w:sz w:val="22"/>
          <w:szCs w:val="22"/>
        </w:rPr>
        <w:t>Please provide a rating in the box provided for the following categories.</w:t>
      </w:r>
    </w:p>
    <w:p w:rsidR="00DD080D" w:rsidRDefault="00DD080D">
      <w:pPr>
        <w:spacing w:before="120" w:after="240"/>
        <w:ind w:left="432"/>
        <w:rPr>
          <w:rFonts w:ascii="Arial" w:hAnsi="Arial" w:cs="Arial"/>
          <w:sz w:val="18"/>
          <w:szCs w:val="22"/>
        </w:rPr>
      </w:pPr>
      <w:r>
        <w:rPr>
          <w:rFonts w:ascii="Arial" w:hAnsi="Arial" w:cs="Arial"/>
          <w:b/>
          <w:sz w:val="20"/>
          <w:szCs w:val="22"/>
        </w:rPr>
        <w:t>Rate:  1</w:t>
      </w:r>
      <w:r>
        <w:rPr>
          <w:rFonts w:ascii="Arial" w:hAnsi="Arial" w:cs="Arial"/>
          <w:sz w:val="20"/>
          <w:szCs w:val="22"/>
        </w:rPr>
        <w:t xml:space="preserve"> = Strongly Disagree,   </w:t>
      </w:r>
      <w:r>
        <w:rPr>
          <w:rFonts w:ascii="Arial" w:hAnsi="Arial" w:cs="Arial"/>
          <w:b/>
          <w:sz w:val="20"/>
          <w:szCs w:val="22"/>
        </w:rPr>
        <w:t>2</w:t>
      </w:r>
      <w:r>
        <w:rPr>
          <w:rFonts w:ascii="Arial" w:hAnsi="Arial" w:cs="Arial"/>
          <w:sz w:val="20"/>
          <w:szCs w:val="22"/>
        </w:rPr>
        <w:t xml:space="preserve"> = Disagree,   </w:t>
      </w:r>
      <w:r>
        <w:rPr>
          <w:rFonts w:ascii="Arial" w:hAnsi="Arial" w:cs="Arial"/>
          <w:b/>
          <w:sz w:val="20"/>
          <w:szCs w:val="22"/>
        </w:rPr>
        <w:t>3</w:t>
      </w:r>
      <w:r>
        <w:rPr>
          <w:rFonts w:ascii="Arial" w:hAnsi="Arial" w:cs="Arial"/>
          <w:sz w:val="20"/>
          <w:szCs w:val="22"/>
        </w:rPr>
        <w:t xml:space="preserve"> = Agree,   </w:t>
      </w:r>
      <w:r>
        <w:rPr>
          <w:rFonts w:ascii="Arial" w:hAnsi="Arial" w:cs="Arial"/>
          <w:b/>
          <w:sz w:val="20"/>
          <w:szCs w:val="22"/>
        </w:rPr>
        <w:t>4</w:t>
      </w:r>
      <w:r>
        <w:rPr>
          <w:rFonts w:ascii="Arial" w:hAnsi="Arial" w:cs="Arial"/>
          <w:sz w:val="20"/>
          <w:szCs w:val="22"/>
        </w:rPr>
        <w:t xml:space="preserve"> = Strongly Agree</w:t>
      </w:r>
    </w:p>
    <w:p w:rsidR="00DD080D" w:rsidRDefault="00DD080D">
      <w:pPr>
        <w:spacing w:before="360" w:after="240"/>
        <w:ind w:left="274" w:hanging="274"/>
        <w:rPr>
          <w:rFonts w:ascii="Arial" w:hAnsi="Arial" w:cs="Arial"/>
          <w:sz w:val="22"/>
          <w:szCs w:val="22"/>
        </w:rPr>
      </w:pPr>
      <w:r>
        <w:rPr>
          <w:rFonts w:ascii="Arial" w:hAnsi="Arial" w:cs="Arial"/>
          <w:b/>
          <w:sz w:val="22"/>
          <w:szCs w:val="22"/>
        </w:rPr>
        <w:t>1.</w:t>
      </w:r>
      <w:r>
        <w:rPr>
          <w:rFonts w:ascii="Arial" w:hAnsi="Arial" w:cs="Arial"/>
          <w:b/>
          <w:sz w:val="22"/>
          <w:szCs w:val="22"/>
        </w:rPr>
        <w:tab/>
        <w:t>Communication:</w:t>
      </w:r>
      <w:r>
        <w:rPr>
          <w:rFonts w:ascii="Arial" w:hAnsi="Arial" w:cs="Arial"/>
          <w:sz w:val="22"/>
          <w:szCs w:val="22"/>
        </w:rPr>
        <w:t xml:space="preserve"> The Contractor used good communication</w:t>
      </w:r>
      <w:r w:rsidR="005E09E7">
        <w:rPr>
          <w:rFonts w:ascii="Arial" w:hAnsi="Arial" w:cs="Arial"/>
          <w:sz w:val="22"/>
          <w:szCs w:val="22"/>
        </w:rPr>
        <w:t xml:space="preserve"> skills throughout the project. </w:t>
      </w:r>
      <w:r>
        <w:rPr>
          <w:rFonts w:ascii="Arial" w:hAnsi="Arial" w:cs="Arial"/>
          <w:sz w:val="22"/>
          <w:szCs w:val="22"/>
        </w:rPr>
        <w:t>The Foreman was always available to talk to, and listened to our concerns. The Contractor coordinated all work effectively and efficiently and communicated well with all subcontractors. The Contractor invited appropriate staff and subcontractors to the weekly meetings. The Contactor successfully used the RFI process to resolve issues/questions with the plans and specifications.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bookmarkStart w:id="0" w:name="_GoBack"/>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bookmarkEnd w:id="0"/>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bookmarkStart w:id="1" w:name="Text1"/>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bookmarkEnd w:id="1"/>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240"/>
        <w:ind w:left="274" w:hanging="274"/>
        <w:rPr>
          <w:rFonts w:ascii="Arial" w:hAnsi="Arial" w:cs="Arial"/>
          <w:sz w:val="20"/>
          <w:szCs w:val="22"/>
        </w:rPr>
      </w:pPr>
      <w:r>
        <w:rPr>
          <w:rFonts w:ascii="Arial" w:hAnsi="Arial" w:cs="Arial"/>
          <w:b/>
          <w:sz w:val="22"/>
          <w:szCs w:val="22"/>
        </w:rPr>
        <w:t>2.</w:t>
      </w:r>
      <w:r>
        <w:rPr>
          <w:rFonts w:ascii="Arial" w:hAnsi="Arial" w:cs="Arial"/>
          <w:b/>
          <w:sz w:val="22"/>
          <w:szCs w:val="22"/>
        </w:rPr>
        <w:tab/>
        <w:t>Knowledge:</w:t>
      </w:r>
      <w:r>
        <w:rPr>
          <w:rFonts w:ascii="Arial" w:hAnsi="Arial" w:cs="Arial"/>
          <w:sz w:val="22"/>
        </w:rPr>
        <w:t xml:space="preserve"> The Contractor had a clear understanding of the scope of work and the level of effort required to complete the work. The Contractor was experienced with the type of work included in the contract. The Contractor anticipated issues, and worked to resolve them before they became problems.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240"/>
        <w:ind w:left="274" w:hanging="274"/>
        <w:rPr>
          <w:rFonts w:ascii="Arial" w:hAnsi="Arial" w:cs="Arial"/>
          <w:sz w:val="22"/>
          <w:szCs w:val="22"/>
        </w:rPr>
      </w:pPr>
      <w:r>
        <w:rPr>
          <w:rFonts w:ascii="Arial" w:hAnsi="Arial" w:cs="Arial"/>
          <w:b/>
          <w:sz w:val="22"/>
          <w:szCs w:val="22"/>
        </w:rPr>
        <w:t>3.</w:t>
      </w:r>
      <w:r>
        <w:rPr>
          <w:rFonts w:ascii="Arial" w:hAnsi="Arial" w:cs="Arial"/>
          <w:b/>
          <w:sz w:val="22"/>
          <w:szCs w:val="22"/>
        </w:rPr>
        <w:tab/>
        <w:t>Timely Payment to Subcontractors and Suppliers:</w:t>
      </w:r>
      <w:r>
        <w:rPr>
          <w:rFonts w:ascii="Arial" w:hAnsi="Arial" w:cs="Arial"/>
          <w:sz w:val="22"/>
          <w:szCs w:val="22"/>
        </w:rPr>
        <w:t xml:space="preserve"> The Contractor paid all subcontractors and suppliers within ten (10) days of receiving payment from WisDOT. If for any reason, payment was withheld, proper notification and justification was provided to the Project </w:t>
      </w:r>
      <w:r w:rsidR="001A6E95">
        <w:rPr>
          <w:rFonts w:ascii="Arial" w:hAnsi="Arial" w:cs="Arial"/>
          <w:sz w:val="22"/>
          <w:szCs w:val="22"/>
        </w:rPr>
        <w:t>Engineer</w:t>
      </w:r>
      <w:r>
        <w:rPr>
          <w:rFonts w:ascii="Arial" w:hAnsi="Arial" w:cs="Arial"/>
          <w:sz w:val="22"/>
          <w:szCs w:val="22"/>
        </w:rPr>
        <w:t>. The Contractor released retainage to subcontractors in accordance with ASP-4.</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lastRenderedPageBreak/>
        <w:t>4.</w:t>
      </w:r>
      <w:r>
        <w:rPr>
          <w:rFonts w:ascii="Arial" w:hAnsi="Arial" w:cs="Arial"/>
          <w:b/>
          <w:sz w:val="22"/>
          <w:szCs w:val="22"/>
        </w:rPr>
        <w:tab/>
        <w:t>Timely Completion of Work:</w:t>
      </w:r>
      <w:r>
        <w:rPr>
          <w:rFonts w:ascii="Arial" w:hAnsi="Arial" w:cs="Arial"/>
          <w:sz w:val="22"/>
          <w:szCs w:val="22"/>
        </w:rPr>
        <w:t xml:space="preserve"> The Contractor submitted schedules for completing the work as requested by the Project </w:t>
      </w:r>
      <w:r w:rsidR="001A6E95">
        <w:rPr>
          <w:rFonts w:ascii="Arial" w:hAnsi="Arial" w:cs="Arial"/>
          <w:sz w:val="22"/>
          <w:szCs w:val="22"/>
        </w:rPr>
        <w:t>Engineer</w:t>
      </w:r>
      <w:r>
        <w:rPr>
          <w:rFonts w:ascii="Arial" w:hAnsi="Arial" w:cs="Arial"/>
          <w:sz w:val="22"/>
          <w:szCs w:val="22"/>
        </w:rPr>
        <w:t>. The work was performed promptly unless there were delays caused by weather or other factors outside of the Contractor’s control. All work was performed in accordance with contract time. The Contractor appointed a Designated Materials Person at the beginning of the project, and followed the process for timely submittal of material certifications and testing. The Contractor quickly responded to all requests associated with the tentative final and final closeout of the project.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t>5.</w:t>
      </w:r>
      <w:r>
        <w:rPr>
          <w:rFonts w:ascii="Arial" w:hAnsi="Arial" w:cs="Arial"/>
          <w:b/>
          <w:sz w:val="22"/>
          <w:szCs w:val="22"/>
        </w:rPr>
        <w:tab/>
        <w:t>Changes in the Field:</w:t>
      </w:r>
      <w:r>
        <w:rPr>
          <w:rFonts w:ascii="Arial" w:hAnsi="Arial" w:cs="Arial"/>
          <w:sz w:val="22"/>
          <w:szCs w:val="22"/>
        </w:rPr>
        <w:t xml:space="preserve"> The Contractor promptly addressed changes in scope and changes in condition. The Contractor responded in the appropriate timeframe to all requests for pricing, justification, and other change order documentation. The Contractor was open to discussion of alternative methods of completing the work and any associated costs. Upon receipt of the “prior approval”, the Contractor performed the contract change order work in a timely fashion.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rPr>
          <w:trHeight w:val="288"/>
        </w:trPr>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t>6.</w:t>
      </w:r>
      <w:r>
        <w:rPr>
          <w:rFonts w:ascii="Arial" w:hAnsi="Arial" w:cs="Arial"/>
          <w:b/>
          <w:sz w:val="22"/>
          <w:szCs w:val="22"/>
        </w:rPr>
        <w:tab/>
        <w:t>Fairness / Conflict Resolution:</w:t>
      </w:r>
      <w:r>
        <w:rPr>
          <w:rFonts w:ascii="Arial" w:hAnsi="Arial" w:cs="Arial"/>
          <w:sz w:val="22"/>
          <w:szCs w:val="22"/>
        </w:rPr>
        <w:t xml:space="preserve"> The Contractor was fair and reasonable. All communication was respectful and professional. When a conflict of any nature arose, the Contractor listened to all concerns expressed by the parties involved and worked cooperatively toward an acceptable solution.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Default="00DD080D" w:rsidP="008C46FB">
      <w:pPr>
        <w:spacing w:before="240" w:after="120"/>
        <w:ind w:left="274" w:hanging="274"/>
        <w:rPr>
          <w:rFonts w:ascii="Arial" w:hAnsi="Arial" w:cs="Arial"/>
          <w:sz w:val="22"/>
          <w:szCs w:val="22"/>
        </w:rPr>
      </w:pPr>
      <w:r>
        <w:rPr>
          <w:rFonts w:ascii="Arial" w:hAnsi="Arial" w:cs="Arial"/>
          <w:b/>
          <w:sz w:val="22"/>
          <w:szCs w:val="22"/>
        </w:rPr>
        <w:t>7.</w:t>
      </w:r>
      <w:r>
        <w:rPr>
          <w:rFonts w:ascii="Arial" w:hAnsi="Arial" w:cs="Arial"/>
          <w:b/>
          <w:sz w:val="22"/>
          <w:szCs w:val="22"/>
        </w:rPr>
        <w:tab/>
        <w:t>Adequacy of Workforce:</w:t>
      </w:r>
      <w:r>
        <w:rPr>
          <w:rFonts w:ascii="Arial" w:hAnsi="Arial" w:cs="Arial"/>
          <w:sz w:val="22"/>
          <w:szCs w:val="22"/>
        </w:rPr>
        <w:t xml:space="preserve"> The Contractor had enough people onsite to effectively build the project. The workers of the Prime and Subcontractors were knowledgeable and competent and acted professionally. The amount and condition of all equipment was adequate for the work that had to be done.</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7"/>
        <w:gridCol w:w="534"/>
        <w:gridCol w:w="9449"/>
      </w:tblGrid>
      <w:tr w:rsidR="008C46FB" w:rsidRPr="008A06FB" w:rsidTr="00DC6AD1">
        <w:trPr>
          <w:trHeight w:val="188"/>
        </w:trPr>
        <w:tc>
          <w:tcPr>
            <w:tcW w:w="828" w:type="dxa"/>
            <w:tcBorders>
              <w:top w:val="nil"/>
              <w:left w:val="nil"/>
              <w:bottom w:val="single" w:sz="4" w:space="0" w:color="auto"/>
              <w:right w:val="nil"/>
            </w:tcBorders>
            <w:shd w:val="clear" w:color="auto" w:fill="auto"/>
            <w:vAlign w:val="center"/>
          </w:tcPr>
          <w:p w:rsidR="008C46FB" w:rsidRPr="008A06FB" w:rsidRDefault="008C46FB" w:rsidP="00201F7E">
            <w:pPr>
              <w:jc w:val="center"/>
              <w:rPr>
                <w:rFonts w:ascii="Arial" w:hAnsi="Arial" w:cs="Arial"/>
                <w:b/>
                <w:sz w:val="20"/>
              </w:rPr>
            </w:pPr>
            <w:r w:rsidRPr="008A06FB">
              <w:rPr>
                <w:rFonts w:ascii="Arial" w:hAnsi="Arial" w:cs="Arial"/>
                <w:b/>
                <w:sz w:val="16"/>
              </w:rPr>
              <w:t>Rate</w:t>
            </w:r>
            <w:r w:rsidRPr="008A06FB">
              <w:rPr>
                <w:rFonts w:ascii="Arial" w:hAnsi="Arial" w:cs="Arial"/>
                <w:b/>
                <w:sz w:val="16"/>
              </w:rPr>
              <w:br/>
              <w:t>(1–4)</w:t>
            </w:r>
          </w:p>
        </w:tc>
        <w:tc>
          <w:tcPr>
            <w:tcW w:w="540" w:type="dxa"/>
            <w:vMerge w:val="restart"/>
            <w:tcBorders>
              <w:top w:val="nil"/>
              <w:left w:val="nil"/>
              <w:bottom w:val="nil"/>
              <w:right w:val="nil"/>
            </w:tcBorders>
            <w:shd w:val="clear" w:color="auto" w:fill="auto"/>
          </w:tcPr>
          <w:p w:rsidR="008C46FB" w:rsidRPr="008A06FB" w:rsidRDefault="008C46FB" w:rsidP="00201F7E">
            <w:pPr>
              <w:rPr>
                <w:rFonts w:ascii="Arial" w:hAnsi="Arial" w:cs="Arial"/>
                <w:sz w:val="20"/>
              </w:rPr>
            </w:pPr>
          </w:p>
        </w:tc>
        <w:tc>
          <w:tcPr>
            <w:tcW w:w="9630" w:type="dxa"/>
            <w:tcBorders>
              <w:top w:val="nil"/>
              <w:left w:val="nil"/>
              <w:bottom w:val="single" w:sz="4" w:space="0" w:color="auto"/>
              <w:right w:val="nil"/>
            </w:tcBorders>
            <w:shd w:val="clear" w:color="auto" w:fill="auto"/>
            <w:vAlign w:val="center"/>
          </w:tcPr>
          <w:p w:rsidR="008C46FB" w:rsidRPr="008A06FB" w:rsidRDefault="008C46FB" w:rsidP="00201F7E">
            <w:pPr>
              <w:rPr>
                <w:rFonts w:ascii="Arial" w:hAnsi="Arial" w:cs="Arial"/>
                <w:sz w:val="20"/>
              </w:rPr>
            </w:pPr>
            <w:r w:rsidRPr="008A06FB">
              <w:rPr>
                <w:rFonts w:ascii="Arial" w:hAnsi="Arial" w:cs="Arial"/>
                <w:b/>
                <w:sz w:val="16"/>
              </w:rPr>
              <w:t>Comments</w:t>
            </w:r>
            <w:r w:rsidRPr="008A06FB">
              <w:rPr>
                <w:rFonts w:ascii="Arial" w:hAnsi="Arial" w:cs="Arial"/>
                <w:sz w:val="16"/>
              </w:rPr>
              <w:t xml:space="preserve"> (required):</w:t>
            </w:r>
          </w:p>
        </w:tc>
      </w:tr>
      <w:tr w:rsidR="008C46FB" w:rsidRPr="008A06FB" w:rsidTr="00DC6AD1">
        <w:tc>
          <w:tcPr>
            <w:tcW w:w="828" w:type="dxa"/>
            <w:tcBorders>
              <w:top w:val="single" w:sz="4" w:space="0" w:color="auto"/>
              <w:bottom w:val="single" w:sz="4" w:space="0" w:color="auto"/>
              <w:right w:val="single" w:sz="4" w:space="0" w:color="auto"/>
            </w:tcBorders>
            <w:shd w:val="clear" w:color="auto" w:fill="auto"/>
          </w:tcPr>
          <w:p w:rsidR="008C46FB" w:rsidRPr="008A06FB" w:rsidRDefault="008C46FB" w:rsidP="00201F7E">
            <w:pPr>
              <w:spacing w:before="240" w:after="240" w:line="276" w:lineRule="auto"/>
              <w:jc w:val="center"/>
              <w:rPr>
                <w:rFonts w:ascii="Arial" w:hAnsi="Arial" w:cs="Arial"/>
                <w:sz w:val="20"/>
              </w:rPr>
            </w:pPr>
            <w:r w:rsidRPr="008A06FB">
              <w:rPr>
                <w:rFonts w:ascii="Arial" w:hAnsi="Arial" w:cs="Arial"/>
                <w:sz w:val="20"/>
                <w:szCs w:val="22"/>
              </w:rPr>
              <w:fldChar w:fldCharType="begin">
                <w:ffData>
                  <w:name w:val=""/>
                  <w:enabled/>
                  <w:calcOnExit w:val="0"/>
                  <w:ddList>
                    <w:listEntry w:val="      "/>
                    <w:listEntry w:val="1"/>
                    <w:listEntry w:val="2"/>
                    <w:listEntry w:val="3"/>
                    <w:listEntry w:val="4"/>
                  </w:ddList>
                </w:ffData>
              </w:fldChar>
            </w:r>
            <w:r w:rsidRPr="008A06FB">
              <w:rPr>
                <w:rFonts w:ascii="Arial" w:hAnsi="Arial" w:cs="Arial"/>
                <w:sz w:val="20"/>
                <w:szCs w:val="22"/>
              </w:rPr>
              <w:instrText xml:space="preserve"> FORMDROPDOWN </w:instrText>
            </w:r>
            <w:r w:rsidR="00DC6AD1">
              <w:rPr>
                <w:rFonts w:ascii="Arial" w:hAnsi="Arial" w:cs="Arial"/>
                <w:sz w:val="20"/>
                <w:szCs w:val="22"/>
              </w:rPr>
            </w:r>
            <w:r w:rsidR="00DC6AD1">
              <w:rPr>
                <w:rFonts w:ascii="Arial" w:hAnsi="Arial" w:cs="Arial"/>
                <w:sz w:val="20"/>
                <w:szCs w:val="22"/>
              </w:rPr>
              <w:fldChar w:fldCharType="separate"/>
            </w:r>
            <w:r w:rsidRPr="008A06FB">
              <w:rPr>
                <w:rFonts w:ascii="Arial" w:hAnsi="Arial" w:cs="Arial"/>
                <w:sz w:val="20"/>
                <w:szCs w:val="22"/>
              </w:rPr>
              <w:fldChar w:fldCharType="end"/>
            </w:r>
          </w:p>
        </w:tc>
        <w:tc>
          <w:tcPr>
            <w:tcW w:w="540" w:type="dxa"/>
            <w:vMerge/>
            <w:tcBorders>
              <w:top w:val="nil"/>
              <w:left w:val="single" w:sz="4" w:space="0" w:color="auto"/>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val="restart"/>
            <w:tcBorders>
              <w:top w:val="single" w:sz="4" w:space="0" w:color="auto"/>
              <w:left w:val="single" w:sz="4" w:space="0" w:color="auto"/>
            </w:tcBorders>
            <w:shd w:val="clear" w:color="auto" w:fill="auto"/>
          </w:tcPr>
          <w:p w:rsidR="008C46FB" w:rsidRPr="008A06FB" w:rsidRDefault="008C46FB" w:rsidP="00201F7E">
            <w:pPr>
              <w:spacing w:before="20" w:after="20"/>
              <w:rPr>
                <w:rFonts w:ascii="Arial" w:hAnsi="Arial" w:cs="Arial"/>
                <w:sz w:val="20"/>
              </w:rPr>
            </w:pPr>
            <w:r w:rsidRPr="008A06FB">
              <w:rPr>
                <w:rFonts w:ascii="Arial" w:hAnsi="Arial" w:cs="Arial"/>
                <w:sz w:val="20"/>
              </w:rPr>
              <w:fldChar w:fldCharType="begin">
                <w:ffData>
                  <w:name w:val="Text1"/>
                  <w:enabled/>
                  <w:calcOnExit w:val="0"/>
                  <w:textInput/>
                </w:ffData>
              </w:fldChar>
            </w:r>
            <w:r w:rsidRPr="008A06FB">
              <w:rPr>
                <w:rFonts w:ascii="Arial" w:hAnsi="Arial" w:cs="Arial"/>
                <w:sz w:val="20"/>
              </w:rPr>
              <w:instrText xml:space="preserve"> FORMTEXT </w:instrText>
            </w:r>
            <w:r w:rsidRPr="008A06FB">
              <w:rPr>
                <w:rFonts w:ascii="Arial" w:hAnsi="Arial" w:cs="Arial"/>
                <w:sz w:val="20"/>
              </w:rPr>
            </w:r>
            <w:r w:rsidRPr="008A06FB">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8A06FB">
              <w:rPr>
                <w:rFonts w:ascii="Arial" w:hAnsi="Arial" w:cs="Arial"/>
                <w:sz w:val="20"/>
              </w:rPr>
              <w:fldChar w:fldCharType="end"/>
            </w:r>
          </w:p>
        </w:tc>
      </w:tr>
      <w:tr w:rsidR="008C46FB" w:rsidRPr="008A06FB" w:rsidTr="00DC6AD1">
        <w:tc>
          <w:tcPr>
            <w:tcW w:w="828" w:type="dxa"/>
            <w:tcBorders>
              <w:top w:val="single" w:sz="4" w:space="0" w:color="auto"/>
              <w:left w:val="nil"/>
              <w:bottom w:val="nil"/>
              <w:right w:val="nil"/>
            </w:tcBorders>
            <w:shd w:val="clear" w:color="auto" w:fill="auto"/>
          </w:tcPr>
          <w:p w:rsidR="008C46FB" w:rsidRPr="008A06FB" w:rsidRDefault="008C46FB" w:rsidP="00201F7E">
            <w:pPr>
              <w:spacing w:before="240" w:after="240" w:line="276" w:lineRule="auto"/>
              <w:rPr>
                <w:rFonts w:ascii="Arial" w:hAnsi="Arial" w:cs="Arial"/>
                <w:sz w:val="20"/>
              </w:rPr>
            </w:pPr>
          </w:p>
        </w:tc>
        <w:tc>
          <w:tcPr>
            <w:tcW w:w="540" w:type="dxa"/>
            <w:vMerge/>
            <w:tcBorders>
              <w:top w:val="nil"/>
              <w:left w:val="nil"/>
              <w:bottom w:val="nil"/>
              <w:righ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c>
          <w:tcPr>
            <w:tcW w:w="9630" w:type="dxa"/>
            <w:vMerge/>
            <w:tcBorders>
              <w:left w:val="single" w:sz="4" w:space="0" w:color="auto"/>
            </w:tcBorders>
            <w:shd w:val="clear" w:color="auto" w:fill="auto"/>
          </w:tcPr>
          <w:p w:rsidR="008C46FB" w:rsidRPr="008A06FB" w:rsidRDefault="008C46FB" w:rsidP="00201F7E">
            <w:pPr>
              <w:spacing w:before="240" w:after="240" w:line="276" w:lineRule="auto"/>
              <w:rPr>
                <w:rFonts w:ascii="Arial" w:hAnsi="Arial" w:cs="Arial"/>
                <w:sz w:val="20"/>
              </w:rPr>
            </w:pPr>
          </w:p>
        </w:tc>
      </w:tr>
    </w:tbl>
    <w:p w:rsidR="00DD080D" w:rsidRPr="00675A83" w:rsidRDefault="00DD080D" w:rsidP="00675A83">
      <w:pPr>
        <w:rPr>
          <w:rFonts w:ascii="Arial" w:hAnsi="Arial" w:cs="Arial"/>
          <w:sz w:val="16"/>
          <w:szCs w:val="16"/>
        </w:rPr>
      </w:pPr>
    </w:p>
    <w:tbl>
      <w:tblPr>
        <w:tblW w:w="0" w:type="auto"/>
        <w:tblLook w:val="04A0" w:firstRow="1" w:lastRow="0" w:firstColumn="1" w:lastColumn="0" w:noHBand="0" w:noVBand="1"/>
      </w:tblPr>
      <w:tblGrid>
        <w:gridCol w:w="848"/>
        <w:gridCol w:w="513"/>
        <w:gridCol w:w="9439"/>
      </w:tblGrid>
      <w:tr w:rsidR="008C46FB" w:rsidRPr="00F96A00" w:rsidTr="00201F7E">
        <w:trPr>
          <w:trHeight w:val="432"/>
        </w:trPr>
        <w:tc>
          <w:tcPr>
            <w:tcW w:w="848" w:type="dxa"/>
            <w:tcBorders>
              <w:top w:val="nil"/>
              <w:left w:val="nil"/>
              <w:right w:val="nil"/>
            </w:tcBorders>
            <w:vAlign w:val="center"/>
          </w:tcPr>
          <w:p w:rsidR="008C46FB" w:rsidRPr="00F96A00" w:rsidRDefault="008C46FB" w:rsidP="00201F7E">
            <w:pPr>
              <w:jc w:val="center"/>
              <w:rPr>
                <w:rFonts w:ascii="Arial" w:hAnsi="Arial" w:cs="Arial"/>
                <w:b/>
                <w:sz w:val="16"/>
                <w:szCs w:val="22"/>
              </w:rPr>
            </w:pPr>
            <w:r w:rsidRPr="00F96A00">
              <w:rPr>
                <w:rFonts w:ascii="Arial" w:hAnsi="Arial" w:cs="Arial"/>
                <w:b/>
                <w:sz w:val="16"/>
                <w:szCs w:val="22"/>
              </w:rPr>
              <w:t>Average</w:t>
            </w:r>
          </w:p>
          <w:p w:rsidR="008C46FB" w:rsidRPr="00F96A00" w:rsidRDefault="008C46FB" w:rsidP="00201F7E">
            <w:pPr>
              <w:jc w:val="center"/>
              <w:rPr>
                <w:rFonts w:ascii="Arial" w:hAnsi="Arial" w:cs="Arial"/>
                <w:b/>
                <w:sz w:val="16"/>
                <w:szCs w:val="22"/>
              </w:rPr>
            </w:pPr>
            <w:r w:rsidRPr="00F96A00">
              <w:rPr>
                <w:rFonts w:ascii="Arial" w:hAnsi="Arial" w:cs="Arial"/>
                <w:b/>
                <w:sz w:val="16"/>
                <w:szCs w:val="22"/>
              </w:rPr>
              <w:t>Rating</w:t>
            </w:r>
          </w:p>
        </w:tc>
        <w:tc>
          <w:tcPr>
            <w:tcW w:w="520" w:type="dxa"/>
            <w:vMerge w:val="restart"/>
            <w:tcBorders>
              <w:top w:val="nil"/>
              <w:left w:val="nil"/>
              <w:right w:val="nil"/>
            </w:tcBorders>
            <w:vAlign w:val="center"/>
          </w:tcPr>
          <w:p w:rsidR="008C46FB" w:rsidRPr="00F96A00" w:rsidRDefault="008C46FB" w:rsidP="00201F7E">
            <w:pPr>
              <w:jc w:val="center"/>
              <w:rPr>
                <w:rFonts w:ascii="Arial" w:hAnsi="Arial" w:cs="Arial"/>
                <w:sz w:val="22"/>
                <w:szCs w:val="22"/>
              </w:rPr>
            </w:pPr>
          </w:p>
        </w:tc>
        <w:tc>
          <w:tcPr>
            <w:tcW w:w="9648" w:type="dxa"/>
            <w:vMerge w:val="restart"/>
            <w:tcBorders>
              <w:top w:val="nil"/>
              <w:left w:val="nil"/>
              <w:right w:val="nil"/>
            </w:tcBorders>
            <w:vAlign w:val="center"/>
          </w:tcPr>
          <w:p w:rsidR="008C46FB" w:rsidRPr="00F96A00" w:rsidRDefault="008C46FB" w:rsidP="00201F7E">
            <w:pPr>
              <w:spacing w:before="480"/>
              <w:rPr>
                <w:rFonts w:ascii="Arial" w:hAnsi="Arial" w:cs="Arial"/>
                <w:sz w:val="22"/>
                <w:szCs w:val="22"/>
              </w:rPr>
            </w:pPr>
            <w:r w:rsidRPr="00F96A00">
              <w:rPr>
                <w:rFonts w:ascii="Arial" w:hAnsi="Arial" w:cs="Arial"/>
                <w:b/>
                <w:sz w:val="20"/>
                <w:szCs w:val="22"/>
              </w:rPr>
              <w:t xml:space="preserve">AVERAGE RATING: </w:t>
            </w:r>
            <w:r w:rsidRPr="00F96A00">
              <w:rPr>
                <w:rFonts w:ascii="Arial" w:hAnsi="Arial" w:cs="Arial"/>
                <w:sz w:val="18"/>
                <w:szCs w:val="18"/>
              </w:rPr>
              <w:t>Add up the seven ratings and divide by seven. (Round to the nearest tenth.)</w:t>
            </w:r>
          </w:p>
        </w:tc>
      </w:tr>
      <w:tr w:rsidR="008C46FB" w:rsidRPr="00F96A00" w:rsidTr="00201F7E">
        <w:trPr>
          <w:trHeight w:val="352"/>
        </w:trPr>
        <w:tc>
          <w:tcPr>
            <w:tcW w:w="848" w:type="dxa"/>
            <w:tcBorders>
              <w:top w:val="single" w:sz="4" w:space="0" w:color="auto"/>
              <w:left w:val="single" w:sz="4" w:space="0" w:color="auto"/>
              <w:bottom w:val="single" w:sz="4" w:space="0" w:color="auto"/>
              <w:right w:val="single" w:sz="4" w:space="0" w:color="auto"/>
            </w:tcBorders>
            <w:vAlign w:val="center"/>
          </w:tcPr>
          <w:p w:rsidR="008C46FB" w:rsidRPr="00F96A00" w:rsidRDefault="008C46FB" w:rsidP="00201F7E">
            <w:pPr>
              <w:spacing w:before="180" w:after="180"/>
              <w:jc w:val="center"/>
              <w:rPr>
                <w:rFonts w:ascii="Arial" w:hAnsi="Arial" w:cs="Arial"/>
                <w:sz w:val="22"/>
                <w:szCs w:val="22"/>
              </w:rPr>
            </w:pPr>
            <w:r w:rsidRPr="00F96A00">
              <w:rPr>
                <w:rFonts w:ascii="Arial" w:hAnsi="Arial" w:cs="Arial"/>
                <w:sz w:val="22"/>
                <w:szCs w:val="22"/>
              </w:rPr>
              <w:fldChar w:fldCharType="begin">
                <w:ffData>
                  <w:name w:val=""/>
                  <w:enabled/>
                  <w:calcOnExit w:val="0"/>
                  <w:textInput>
                    <w:maxLength w:val="3"/>
                  </w:textInput>
                </w:ffData>
              </w:fldChar>
            </w:r>
            <w:r w:rsidRPr="00F96A00">
              <w:rPr>
                <w:rFonts w:ascii="Arial" w:hAnsi="Arial" w:cs="Arial"/>
                <w:sz w:val="22"/>
                <w:szCs w:val="22"/>
              </w:rPr>
              <w:instrText xml:space="preserve"> FORMTEXT </w:instrText>
            </w:r>
            <w:r w:rsidRPr="00F96A00">
              <w:rPr>
                <w:rFonts w:ascii="Arial" w:hAnsi="Arial" w:cs="Arial"/>
                <w:sz w:val="22"/>
                <w:szCs w:val="22"/>
              </w:rPr>
            </w:r>
            <w:r w:rsidRPr="00F96A0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96A00">
              <w:rPr>
                <w:rFonts w:ascii="Arial" w:hAnsi="Arial" w:cs="Arial"/>
                <w:sz w:val="22"/>
                <w:szCs w:val="22"/>
              </w:rPr>
              <w:fldChar w:fldCharType="end"/>
            </w:r>
          </w:p>
        </w:tc>
        <w:tc>
          <w:tcPr>
            <w:tcW w:w="520" w:type="dxa"/>
            <w:vMerge/>
            <w:tcBorders>
              <w:left w:val="single" w:sz="4" w:space="0" w:color="auto"/>
              <w:bottom w:val="nil"/>
            </w:tcBorders>
            <w:vAlign w:val="bottom"/>
          </w:tcPr>
          <w:p w:rsidR="008C46FB" w:rsidRPr="00F96A00" w:rsidRDefault="008C46FB" w:rsidP="00201F7E">
            <w:pPr>
              <w:jc w:val="center"/>
              <w:rPr>
                <w:rFonts w:ascii="Arial" w:hAnsi="Arial" w:cs="Arial"/>
                <w:sz w:val="22"/>
                <w:szCs w:val="22"/>
              </w:rPr>
            </w:pPr>
          </w:p>
        </w:tc>
        <w:tc>
          <w:tcPr>
            <w:tcW w:w="9648" w:type="dxa"/>
            <w:vMerge/>
            <w:tcBorders>
              <w:left w:val="nil"/>
              <w:bottom w:val="nil"/>
              <w:right w:val="nil"/>
            </w:tcBorders>
            <w:vAlign w:val="bottom"/>
          </w:tcPr>
          <w:p w:rsidR="008C46FB" w:rsidRPr="00F96A00" w:rsidRDefault="008C46FB" w:rsidP="00201F7E">
            <w:pPr>
              <w:rPr>
                <w:rFonts w:ascii="Arial" w:hAnsi="Arial" w:cs="Arial"/>
                <w:sz w:val="22"/>
                <w:szCs w:val="22"/>
              </w:rPr>
            </w:pPr>
          </w:p>
        </w:tc>
      </w:tr>
    </w:tbl>
    <w:p w:rsidR="00DD080D" w:rsidRPr="00675A83" w:rsidRDefault="00DD080D" w:rsidP="00675A83">
      <w:pPr>
        <w:tabs>
          <w:tab w:val="right" w:pos="10080"/>
        </w:tabs>
        <w:rPr>
          <w:rFonts w:ascii="Arial" w:hAnsi="Arial" w:cs="Arial"/>
          <w:sz w:val="16"/>
          <w:szCs w:val="16"/>
        </w:rPr>
      </w:pPr>
    </w:p>
    <w:sectPr w:rsidR="00DD080D" w:rsidRPr="00675A83" w:rsidSect="008C46FB">
      <w:pgSz w:w="12240" w:h="15840" w:code="1"/>
      <w:pgMar w:top="634" w:right="720" w:bottom="720" w:left="72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7E" w:rsidRDefault="00201F7E">
      <w:r>
        <w:separator/>
      </w:r>
    </w:p>
  </w:endnote>
  <w:endnote w:type="continuationSeparator" w:id="0">
    <w:p w:rsidR="00201F7E" w:rsidRDefault="0020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7E" w:rsidRDefault="00201F7E">
      <w:r>
        <w:separator/>
      </w:r>
    </w:p>
  </w:footnote>
  <w:footnote w:type="continuationSeparator" w:id="0">
    <w:p w:rsidR="00201F7E" w:rsidRDefault="0020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1" w:cryptProviderType="rsaAES" w:cryptAlgorithmClass="hash" w:cryptAlgorithmType="typeAny" w:cryptAlgorithmSid="14" w:cryptSpinCount="100000" w:hash="YFwjJ6eeG++8WkIhtubIBwb9d7uZ0G+E0Lju/YHyfI4TahDHGLUqINGqZkF2y/5QC8in7RIx03epk/m+janzSw==" w:salt="PjNlA1AcJJL9cfsLhkTEi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21"/>
    <w:rsid w:val="000146E2"/>
    <w:rsid w:val="000C0B46"/>
    <w:rsid w:val="0014287E"/>
    <w:rsid w:val="00144E63"/>
    <w:rsid w:val="00182E21"/>
    <w:rsid w:val="001A6E95"/>
    <w:rsid w:val="00201F7E"/>
    <w:rsid w:val="00434FEE"/>
    <w:rsid w:val="004D39E9"/>
    <w:rsid w:val="004E66D4"/>
    <w:rsid w:val="005A0780"/>
    <w:rsid w:val="005E09E7"/>
    <w:rsid w:val="006079F4"/>
    <w:rsid w:val="00675A83"/>
    <w:rsid w:val="008C46FB"/>
    <w:rsid w:val="00C531A7"/>
    <w:rsid w:val="00DC6AD1"/>
    <w:rsid w:val="00DD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78E5B-6358-4D3B-98E1-9DA4B94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qFormat/>
    <w:pPr>
      <w:keepNext/>
      <w:ind w:right="-720"/>
      <w:outlineLvl w:val="0"/>
    </w:pPr>
    <w:rPr>
      <w:b/>
      <w:color w:val="0000FF"/>
      <w:sz w:val="20"/>
    </w:rPr>
  </w:style>
  <w:style w:type="paragraph" w:styleId="Heading2">
    <w:name w:val="heading 2"/>
    <w:basedOn w:val="Normal"/>
    <w:next w:val="Normal"/>
    <w:link w:val="Heading2Char"/>
    <w:qFormat/>
    <w:pPr>
      <w:keepNext/>
      <w:ind w:right="72"/>
      <w:jc w:val="center"/>
      <w:outlineLvl w:val="1"/>
    </w:pPr>
    <w:rPr>
      <w:b/>
      <w:sz w:val="20"/>
    </w:rPr>
  </w:style>
  <w:style w:type="paragraph" w:styleId="Heading3">
    <w:name w:val="heading 3"/>
    <w:basedOn w:val="Normal"/>
    <w:next w:val="Normal"/>
    <w:link w:val="Heading3Char"/>
    <w:qFormat/>
    <w:pPr>
      <w:keepNext/>
      <w:ind w:right="-54"/>
      <w:jc w:val="center"/>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5">
    <w:name w:val="heading 5"/>
    <w:basedOn w:val="Normal"/>
    <w:next w:val="Normal"/>
    <w:link w:val="Heading5Char"/>
    <w:qFormat/>
    <w:pPr>
      <w:keepNext/>
      <w:jc w:val="center"/>
      <w:outlineLvl w:val="4"/>
    </w:pPr>
    <w:rPr>
      <w:b/>
      <w:bCs/>
      <w:sz w:val="22"/>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color w:val="0000FF"/>
    </w:rPr>
  </w:style>
  <w:style w:type="character" w:customStyle="1" w:styleId="Heading2Char">
    <w:name w:val="Heading 2 Char"/>
    <w:link w:val="Heading2"/>
    <w:rPr>
      <w:rFonts w:ascii="Arial" w:hAnsi="Arial" w:cs="Arial"/>
      <w:b/>
    </w:rPr>
  </w:style>
  <w:style w:type="character" w:customStyle="1" w:styleId="Heading3Char">
    <w:name w:val="Heading 3 Char"/>
    <w:link w:val="Heading3"/>
    <w:rPr>
      <w:rFonts w:ascii="Arial" w:hAnsi="Arial" w:cs="Arial"/>
      <w:b/>
    </w:rPr>
  </w:style>
  <w:style w:type="character" w:customStyle="1" w:styleId="Heading4Char">
    <w:name w:val="Heading 4 Char"/>
    <w:link w:val="Heading4"/>
    <w:rPr>
      <w:rFonts w:ascii="Arial" w:hAnsi="Arial" w:cs="Arial"/>
      <w:b/>
    </w:rPr>
  </w:style>
  <w:style w:type="character" w:customStyle="1" w:styleId="Heading5Char">
    <w:name w:val="Heading 5 Char"/>
    <w:link w:val="Heading5"/>
    <w:rPr>
      <w:rFonts w:ascii="Arial" w:hAnsi="Arial" w:cs="Arial"/>
      <w:b/>
      <w:bCs/>
      <w:sz w:val="22"/>
    </w:rPr>
  </w:style>
  <w:style w:type="character" w:customStyle="1" w:styleId="Heading6Char">
    <w:name w:val="Heading 6 Char"/>
    <w:link w:val="Heading6"/>
    <w:rPr>
      <w:rFonts w:ascii="Arial" w:hAnsi="Arial" w:cs="Arial"/>
      <w:b/>
      <w:sz w:val="24"/>
    </w:rPr>
  </w:style>
  <w:style w:type="character" w:customStyle="1" w:styleId="Heading7Char">
    <w:name w:val="Heading 7 Char"/>
    <w:link w:val="Heading7"/>
    <w:rPr>
      <w:rFonts w:ascii="Arial" w:hAnsi="Arial" w:cs="Arial"/>
      <w:b/>
    </w:rPr>
  </w:style>
  <w:style w:type="paragraph" w:styleId="Title">
    <w:name w:val="Title"/>
    <w:basedOn w:val="Normal"/>
    <w:link w:val="TitleChar"/>
    <w:qFormat/>
    <w:pPr>
      <w:jc w:val="center"/>
    </w:pPr>
    <w:rPr>
      <w:b/>
    </w:rPr>
  </w:style>
  <w:style w:type="character" w:customStyle="1" w:styleId="TitleChar">
    <w:name w:val="Title Char"/>
    <w:link w:val="Title"/>
    <w:rPr>
      <w:b/>
      <w:sz w:val="24"/>
      <w:szCs w:val="24"/>
    </w:rPr>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semiHidden/>
    <w:rPr>
      <w:rFonts w:ascii="Times New Roman" w:hAnsi="Times New Roman" w:cs="Times New Roman"/>
      <w:sz w:val="24"/>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semiHidden/>
    <w:rPr>
      <w:rFonts w:ascii="Times New Roman" w:hAnsi="Times New Roman" w:cs="Times New Roman"/>
      <w:sz w:val="24"/>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link w:val="BodyTextIndentChar"/>
    <w:semiHidden/>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basedOn w:val="DefaultParagraphFont"/>
    <w:link w:val="BodyTextIndent"/>
    <w:semiHidden/>
  </w:style>
  <w:style w:type="paragraph" w:styleId="BodyTextIndent2">
    <w:name w:val="Body Text Indent 2"/>
    <w:basedOn w:val="Normal"/>
    <w:link w:val="BodyTextIndent2Char"/>
    <w:semiHidden/>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basedOn w:val="DefaultParagraphFont"/>
    <w:link w:val="BodyTextIndent2"/>
    <w:semiHidden/>
  </w:style>
  <w:style w:type="paragraph" w:styleId="BodyText">
    <w:name w:val="Body Text"/>
    <w:basedOn w:val="Normal"/>
    <w:link w:val="BodyTextChar"/>
    <w:semiHidden/>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basedOn w:val="DefaultParagraphFont"/>
    <w:link w:val="BodyText"/>
    <w:semiHidden/>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19B05-3186-4F9A-9747-8D950645A534}"/>
</file>

<file path=customXml/itemProps2.xml><?xml version="1.0" encoding="utf-8"?>
<ds:datastoreItem xmlns:ds="http://schemas.openxmlformats.org/officeDocument/2006/customXml" ds:itemID="{5A1AB9F5-2F41-4C85-B5B9-618580F5CAB3}"/>
</file>

<file path=customXml/itemProps3.xml><?xml version="1.0" encoding="utf-8"?>
<ds:datastoreItem xmlns:ds="http://schemas.openxmlformats.org/officeDocument/2006/customXml" ds:itemID="{9AF863D2-D194-43B1-B7DC-EA51014939F1}"/>
</file>

<file path=docProps/app.xml><?xml version="1.0" encoding="utf-8"?>
<Properties xmlns="http://schemas.openxmlformats.org/officeDocument/2006/extended-properties" xmlns:vt="http://schemas.openxmlformats.org/officeDocument/2006/docPropsVTypes">
  <Template>Normal.dotm</Template>
  <TotalTime>9</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Project Team's Evaluation of the Contractor</vt:lpstr>
    </vt:vector>
  </TitlesOfParts>
  <Company>Wisconsin Department of Transportation</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Team's Evaluation of the Contractor</dc:title>
  <dc:subject/>
  <dc:creator>WisDOT</dc:creator>
  <cp:keywords/>
  <cp:lastModifiedBy>Verran, Michael J - DOT</cp:lastModifiedBy>
  <cp:revision>6</cp:revision>
  <cp:lastPrinted>2013-12-10T19:17:00Z</cp:lastPrinted>
  <dcterms:created xsi:type="dcterms:W3CDTF">2018-01-19T14:25:00Z</dcterms:created>
  <dcterms:modified xsi:type="dcterms:W3CDTF">2018-02-06T14:21:00Z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